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99715" w14:textId="77777777" w:rsidR="006B6117" w:rsidRDefault="0096076D">
      <w:pPr>
        <w:spacing w:after="338" w:line="259" w:lineRule="auto"/>
        <w:ind w:firstLine="0"/>
        <w:jc w:val="center"/>
      </w:pPr>
      <w:r>
        <w:t>ДОГОВОР №</w:t>
      </w:r>
      <w:r w:rsidR="007726A8">
        <w:t xml:space="preserve"> </w:t>
      </w:r>
    </w:p>
    <w:p w14:paraId="62A5DBE4" w14:textId="77777777" w:rsidR="00D11AFC" w:rsidRDefault="0096076D">
      <w:pPr>
        <w:tabs>
          <w:tab w:val="right" w:pos="9262"/>
        </w:tabs>
        <w:spacing w:after="354"/>
        <w:ind w:left="-15" w:right="0" w:firstLine="0"/>
        <w:jc w:val="left"/>
      </w:pPr>
      <w:r>
        <w:t>г.</w:t>
      </w:r>
      <w:r w:rsidR="00831DB3">
        <w:t xml:space="preserve"> </w:t>
      </w:r>
      <w:r>
        <w:t>Оренбург</w:t>
      </w:r>
      <w:r>
        <w:tab/>
      </w:r>
      <w:r w:rsidR="00163963">
        <w:t>«____» _________</w:t>
      </w:r>
      <w:r>
        <w:t>.</w:t>
      </w:r>
      <w:r w:rsidR="00163963">
        <w:t>2023 г.</w:t>
      </w:r>
    </w:p>
    <w:p w14:paraId="0FF19CD0" w14:textId="77777777" w:rsidR="00D11AFC" w:rsidRDefault="00163963" w:rsidP="00DA5B8C">
      <w:pPr>
        <w:spacing w:after="0"/>
        <w:ind w:left="-15" w:right="20"/>
      </w:pPr>
      <w:r>
        <w:rPr>
          <w:highlight w:val="yellow"/>
        </w:rPr>
        <w:t>_________________________</w:t>
      </w:r>
      <w:r w:rsidR="0096076D" w:rsidRPr="00A40DBD">
        <w:rPr>
          <w:highlight w:val="yellow"/>
        </w:rPr>
        <w:t xml:space="preserve">, именуемое в дальнейшем "Поставщик", </w:t>
      </w:r>
      <w:r w:rsidR="0096076D" w:rsidRPr="001A4EDC">
        <w:t xml:space="preserve">в лице </w:t>
      </w:r>
      <w:r>
        <w:t>_________________________</w:t>
      </w:r>
      <w:r w:rsidR="0096076D">
        <w:t xml:space="preserve">, действующего на основании </w:t>
      </w:r>
      <w:r>
        <w:t>____________</w:t>
      </w:r>
      <w:r w:rsidR="0096076D">
        <w:t xml:space="preserve">, с одной стороны, и Общество с ограниченной ответственностью "Руссоль", именуемое в дальнейшем "Покупатель", </w:t>
      </w:r>
      <w:r w:rsidR="0096076D" w:rsidRPr="00163963">
        <w:t>в лице директора Черного Сергея Васильевича, действующего на основании Устава, с друг</w:t>
      </w:r>
      <w:r w:rsidR="0096076D">
        <w:t>ой стороны, вместе именуемые в дальнейшем "Стороны", заключили настоящий Договор о нижеследующем:</w:t>
      </w:r>
    </w:p>
    <w:p w14:paraId="43198904" w14:textId="77777777" w:rsidR="00D11AFC" w:rsidRDefault="0096076D" w:rsidP="00DA5B8C">
      <w:pPr>
        <w:pStyle w:val="1"/>
        <w:spacing w:after="0"/>
        <w:ind w:left="240" w:hanging="240"/>
      </w:pPr>
      <w:r>
        <w:t>ПРЕДМЕТ ДОГОВОРА</w:t>
      </w:r>
    </w:p>
    <w:p w14:paraId="45AA33CC" w14:textId="77777777" w:rsidR="00D11AFC" w:rsidRDefault="0096076D" w:rsidP="00DA5B8C">
      <w:pPr>
        <w:pStyle w:val="a8"/>
        <w:numPr>
          <w:ilvl w:val="1"/>
          <w:numId w:val="4"/>
        </w:numPr>
        <w:spacing w:after="0"/>
        <w:ind w:left="0" w:right="20" w:firstLine="275"/>
      </w:pPr>
      <w:r>
        <w:t xml:space="preserve">Поставщик обязуется передать, а Покупатель принять и оплатить </w:t>
      </w:r>
      <w:r w:rsidR="00163963">
        <w:t>насосы</w:t>
      </w:r>
      <w:r w:rsidR="00006DAE">
        <w:t xml:space="preserve"> в соответствии с Техническим заданием (Приложение №1)</w:t>
      </w:r>
      <w:r>
        <w:t>, далее Товар</w:t>
      </w:r>
      <w:r w:rsidR="00C05E02">
        <w:t>.</w:t>
      </w:r>
      <w:r>
        <w:t xml:space="preserve"> </w:t>
      </w:r>
    </w:p>
    <w:p w14:paraId="2D91EEAE" w14:textId="77777777" w:rsidR="00006DAE" w:rsidRDefault="00006DAE" w:rsidP="00DA5B8C">
      <w:pPr>
        <w:pStyle w:val="a8"/>
        <w:numPr>
          <w:ilvl w:val="1"/>
          <w:numId w:val="4"/>
        </w:numPr>
        <w:spacing w:after="0"/>
        <w:ind w:left="0" w:right="20" w:firstLine="275"/>
      </w:pPr>
      <w:r>
        <w:t>Приложение №1 – Техническое задание на поставку насосов для газопоршневой теплоэлектростанции ЦПС «Новомосковск» ООО «Руссоль».</w:t>
      </w:r>
    </w:p>
    <w:p w14:paraId="527E4D52" w14:textId="77777777" w:rsidR="00D11AFC" w:rsidRDefault="0096076D" w:rsidP="00DA5B8C">
      <w:pPr>
        <w:pStyle w:val="1"/>
        <w:spacing w:after="0"/>
        <w:ind w:left="240" w:right="40" w:hanging="240"/>
      </w:pPr>
      <w:r>
        <w:t>КОЛИЧЕСТВО</w:t>
      </w:r>
      <w:r w:rsidR="000125DB">
        <w:t xml:space="preserve">, </w:t>
      </w:r>
      <w:r>
        <w:t>КАЧЕСТВО</w:t>
      </w:r>
      <w:r w:rsidR="000125DB">
        <w:t xml:space="preserve"> И ЦЕНА</w:t>
      </w:r>
      <w:r>
        <w:t xml:space="preserve"> ТОВАРА</w:t>
      </w:r>
    </w:p>
    <w:p w14:paraId="526920E6" w14:textId="77777777" w:rsidR="00D11AFC" w:rsidRDefault="0096076D" w:rsidP="00DA5B8C">
      <w:pPr>
        <w:spacing w:after="0"/>
        <w:ind w:left="-15" w:right="20"/>
      </w:pPr>
      <w:r>
        <w:t xml:space="preserve">2.1. </w:t>
      </w:r>
      <w:r w:rsidRPr="000125DB">
        <w:t>Наименование, количество</w:t>
      </w:r>
      <w:r w:rsidR="00C2593E">
        <w:t>,</w:t>
      </w:r>
      <w:r w:rsidR="000125DB" w:rsidRPr="00266C29">
        <w:t xml:space="preserve"> цена</w:t>
      </w:r>
      <w:r w:rsidR="00C2593E">
        <w:t xml:space="preserve">, сумма, срок и место поставки </w:t>
      </w:r>
      <w:r w:rsidRPr="00266C29">
        <w:t>Товара, подлежащего поставке</w:t>
      </w:r>
      <w:r w:rsidR="00C05E02" w:rsidRPr="00266C29">
        <w:t>:</w:t>
      </w:r>
    </w:p>
    <w:tbl>
      <w:tblPr>
        <w:tblStyle w:val="a3"/>
        <w:tblW w:w="8934" w:type="dxa"/>
        <w:jc w:val="center"/>
        <w:tblLook w:val="04A0" w:firstRow="1" w:lastRow="0" w:firstColumn="1" w:lastColumn="0" w:noHBand="0" w:noVBand="1"/>
      </w:tblPr>
      <w:tblGrid>
        <w:gridCol w:w="471"/>
        <w:gridCol w:w="1691"/>
        <w:gridCol w:w="640"/>
        <w:gridCol w:w="777"/>
        <w:gridCol w:w="1158"/>
        <w:gridCol w:w="1126"/>
        <w:gridCol w:w="1399"/>
        <w:gridCol w:w="1672"/>
      </w:tblGrid>
      <w:tr w:rsidR="00C2593E" w:rsidRPr="00C2593E" w14:paraId="5D0C6E63" w14:textId="77777777" w:rsidTr="00C2593E">
        <w:trPr>
          <w:jc w:val="center"/>
        </w:trPr>
        <w:tc>
          <w:tcPr>
            <w:tcW w:w="471" w:type="dxa"/>
            <w:vAlign w:val="center"/>
          </w:tcPr>
          <w:p w14:paraId="261FF6CA" w14:textId="77777777" w:rsidR="00C2593E" w:rsidRDefault="00C2593E" w:rsidP="00DA5B8C">
            <w:pPr>
              <w:spacing w:after="0"/>
              <w:ind w:right="20" w:firstLine="0"/>
              <w:jc w:val="center"/>
            </w:pPr>
            <w:r>
              <w:t>№</w:t>
            </w:r>
          </w:p>
        </w:tc>
        <w:tc>
          <w:tcPr>
            <w:tcW w:w="1691" w:type="dxa"/>
            <w:vAlign w:val="center"/>
          </w:tcPr>
          <w:p w14:paraId="334B780E" w14:textId="77777777" w:rsidR="00C2593E" w:rsidRDefault="00C2593E" w:rsidP="00DA5B8C">
            <w:pPr>
              <w:spacing w:after="0"/>
              <w:ind w:right="20" w:firstLine="0"/>
              <w:jc w:val="center"/>
            </w:pPr>
            <w:r>
              <w:t>Наименование</w:t>
            </w:r>
          </w:p>
        </w:tc>
        <w:tc>
          <w:tcPr>
            <w:tcW w:w="640" w:type="dxa"/>
            <w:vAlign w:val="center"/>
          </w:tcPr>
          <w:p w14:paraId="71496E4D" w14:textId="77777777" w:rsidR="00C2593E" w:rsidRDefault="00C2593E" w:rsidP="00DA5B8C">
            <w:pPr>
              <w:spacing w:after="0"/>
              <w:ind w:right="20" w:firstLine="0"/>
              <w:jc w:val="center"/>
            </w:pPr>
            <w:r>
              <w:t>ЕИ</w:t>
            </w:r>
          </w:p>
        </w:tc>
        <w:tc>
          <w:tcPr>
            <w:tcW w:w="777" w:type="dxa"/>
            <w:vAlign w:val="center"/>
          </w:tcPr>
          <w:p w14:paraId="2919692C" w14:textId="77777777" w:rsidR="00C2593E" w:rsidRDefault="00C2593E" w:rsidP="00DA5B8C">
            <w:pPr>
              <w:spacing w:after="0"/>
              <w:ind w:right="0" w:firstLine="0"/>
              <w:jc w:val="center"/>
            </w:pPr>
            <w:r>
              <w:t>Кол-во</w:t>
            </w:r>
          </w:p>
        </w:tc>
        <w:tc>
          <w:tcPr>
            <w:tcW w:w="1158" w:type="dxa"/>
            <w:vAlign w:val="center"/>
          </w:tcPr>
          <w:p w14:paraId="4EE497B9" w14:textId="77777777" w:rsidR="00C2593E" w:rsidRDefault="00C2593E" w:rsidP="00DA5B8C">
            <w:pPr>
              <w:spacing w:after="0"/>
              <w:ind w:right="20" w:firstLine="0"/>
              <w:jc w:val="center"/>
            </w:pPr>
            <w:r>
              <w:t>Цена, руб. за ед. с НДС</w:t>
            </w:r>
          </w:p>
        </w:tc>
        <w:tc>
          <w:tcPr>
            <w:tcW w:w="1126" w:type="dxa"/>
            <w:vAlign w:val="center"/>
          </w:tcPr>
          <w:p w14:paraId="329D6CC6" w14:textId="77777777" w:rsidR="00C2593E" w:rsidRDefault="00C2593E" w:rsidP="00DA5B8C">
            <w:pPr>
              <w:spacing w:after="0"/>
              <w:ind w:right="20" w:firstLine="0"/>
              <w:jc w:val="center"/>
            </w:pPr>
            <w:r>
              <w:t>Сумма, руб. с НДС</w:t>
            </w:r>
          </w:p>
        </w:tc>
        <w:tc>
          <w:tcPr>
            <w:tcW w:w="1399" w:type="dxa"/>
            <w:vAlign w:val="center"/>
          </w:tcPr>
          <w:p w14:paraId="5C62B63A" w14:textId="77777777" w:rsidR="00C2593E" w:rsidRDefault="00C2593E" w:rsidP="00DA5B8C">
            <w:pPr>
              <w:spacing w:after="0"/>
              <w:ind w:right="20" w:firstLine="0"/>
              <w:jc w:val="center"/>
            </w:pPr>
            <w:r>
              <w:t>Срок поставки</w:t>
            </w:r>
          </w:p>
        </w:tc>
        <w:tc>
          <w:tcPr>
            <w:tcW w:w="1672" w:type="dxa"/>
            <w:vAlign w:val="center"/>
          </w:tcPr>
          <w:p w14:paraId="51F5C827" w14:textId="77777777" w:rsidR="00C2593E" w:rsidRPr="00C2593E" w:rsidRDefault="00C2593E" w:rsidP="00DA5B8C">
            <w:pPr>
              <w:spacing w:after="0"/>
              <w:ind w:right="20" w:firstLine="0"/>
              <w:jc w:val="center"/>
            </w:pPr>
            <w:r w:rsidRPr="00C2593E">
              <w:t>Подразделение</w:t>
            </w:r>
          </w:p>
        </w:tc>
      </w:tr>
      <w:tr w:rsidR="00C2593E" w:rsidRPr="00C2593E" w14:paraId="5DB6B8F6" w14:textId="77777777" w:rsidTr="00C2593E">
        <w:trPr>
          <w:jc w:val="center"/>
        </w:trPr>
        <w:tc>
          <w:tcPr>
            <w:tcW w:w="471" w:type="dxa"/>
          </w:tcPr>
          <w:p w14:paraId="40F3AD39" w14:textId="77777777" w:rsidR="00C2593E" w:rsidRDefault="00C2593E" w:rsidP="00DA5B8C">
            <w:pPr>
              <w:spacing w:after="0"/>
              <w:ind w:right="20" w:firstLine="0"/>
              <w:jc w:val="center"/>
            </w:pPr>
            <w:r>
              <w:t>1</w:t>
            </w:r>
          </w:p>
        </w:tc>
        <w:tc>
          <w:tcPr>
            <w:tcW w:w="1691" w:type="dxa"/>
            <w:vAlign w:val="center"/>
          </w:tcPr>
          <w:p w14:paraId="5F4934B4" w14:textId="77777777" w:rsidR="00C2593E" w:rsidRPr="004E72EB" w:rsidRDefault="00C2593E" w:rsidP="00DA5B8C">
            <w:pPr>
              <w:spacing w:after="0"/>
              <w:ind w:firstLine="0"/>
              <w:jc w:val="center"/>
              <w:rPr>
                <w:szCs w:val="24"/>
              </w:rPr>
            </w:pPr>
          </w:p>
        </w:tc>
        <w:tc>
          <w:tcPr>
            <w:tcW w:w="640" w:type="dxa"/>
            <w:vAlign w:val="center"/>
          </w:tcPr>
          <w:p w14:paraId="1677C4CB" w14:textId="77777777" w:rsidR="00C2593E" w:rsidRDefault="00C2593E" w:rsidP="00DA5B8C">
            <w:pPr>
              <w:spacing w:after="0"/>
              <w:ind w:right="20" w:firstLine="0"/>
              <w:jc w:val="center"/>
            </w:pPr>
          </w:p>
        </w:tc>
        <w:tc>
          <w:tcPr>
            <w:tcW w:w="777" w:type="dxa"/>
            <w:vAlign w:val="center"/>
          </w:tcPr>
          <w:p w14:paraId="0BC56CB3" w14:textId="77777777" w:rsidR="00C2593E" w:rsidRDefault="00C2593E" w:rsidP="00DA5B8C">
            <w:pPr>
              <w:spacing w:after="0"/>
              <w:ind w:right="20" w:firstLine="0"/>
              <w:jc w:val="center"/>
            </w:pPr>
          </w:p>
        </w:tc>
        <w:tc>
          <w:tcPr>
            <w:tcW w:w="1158" w:type="dxa"/>
            <w:vAlign w:val="center"/>
          </w:tcPr>
          <w:p w14:paraId="2FE7D769" w14:textId="77777777" w:rsidR="00C2593E" w:rsidRDefault="00C2593E" w:rsidP="00DA5B8C">
            <w:pPr>
              <w:spacing w:after="0"/>
              <w:ind w:right="20" w:firstLine="0"/>
              <w:jc w:val="center"/>
            </w:pPr>
          </w:p>
        </w:tc>
        <w:tc>
          <w:tcPr>
            <w:tcW w:w="1126" w:type="dxa"/>
            <w:vAlign w:val="center"/>
          </w:tcPr>
          <w:p w14:paraId="6C3F9C73" w14:textId="77777777" w:rsidR="00C2593E" w:rsidRDefault="00C2593E" w:rsidP="00DA5B8C">
            <w:pPr>
              <w:spacing w:after="0"/>
              <w:ind w:right="20" w:firstLine="0"/>
              <w:jc w:val="center"/>
            </w:pPr>
          </w:p>
        </w:tc>
        <w:tc>
          <w:tcPr>
            <w:tcW w:w="1399" w:type="dxa"/>
            <w:vAlign w:val="center"/>
          </w:tcPr>
          <w:p w14:paraId="5F61E8A7" w14:textId="77777777" w:rsidR="00C2593E" w:rsidRDefault="00C2593E" w:rsidP="00DA5B8C">
            <w:pPr>
              <w:spacing w:after="0"/>
              <w:ind w:right="20" w:firstLine="0"/>
              <w:jc w:val="center"/>
            </w:pPr>
          </w:p>
        </w:tc>
        <w:tc>
          <w:tcPr>
            <w:tcW w:w="1672" w:type="dxa"/>
            <w:vAlign w:val="center"/>
          </w:tcPr>
          <w:p w14:paraId="4A2738B1" w14:textId="77777777" w:rsidR="00C2593E" w:rsidRPr="00C2593E" w:rsidRDefault="00C2593E" w:rsidP="00DA5B8C">
            <w:pPr>
              <w:spacing w:after="0"/>
              <w:ind w:right="20" w:firstLine="0"/>
              <w:jc w:val="center"/>
            </w:pPr>
          </w:p>
        </w:tc>
      </w:tr>
      <w:tr w:rsidR="00C2593E" w:rsidRPr="00C2593E" w14:paraId="00AC476F" w14:textId="77777777" w:rsidTr="00C2593E">
        <w:trPr>
          <w:jc w:val="center"/>
        </w:trPr>
        <w:tc>
          <w:tcPr>
            <w:tcW w:w="471" w:type="dxa"/>
          </w:tcPr>
          <w:p w14:paraId="45E2AD54" w14:textId="77777777" w:rsidR="00C2593E" w:rsidRDefault="00C2593E" w:rsidP="00DA5B8C">
            <w:pPr>
              <w:spacing w:after="0"/>
              <w:ind w:right="20" w:firstLine="0"/>
              <w:jc w:val="center"/>
            </w:pPr>
            <w:r>
              <w:t>2</w:t>
            </w:r>
          </w:p>
        </w:tc>
        <w:tc>
          <w:tcPr>
            <w:tcW w:w="1691" w:type="dxa"/>
            <w:vAlign w:val="center"/>
          </w:tcPr>
          <w:p w14:paraId="242041F0" w14:textId="77777777" w:rsidR="00C2593E" w:rsidRPr="004E72EB" w:rsidRDefault="00C2593E" w:rsidP="00DA5B8C">
            <w:pPr>
              <w:spacing w:after="0"/>
              <w:ind w:firstLine="0"/>
              <w:jc w:val="center"/>
              <w:rPr>
                <w:szCs w:val="24"/>
              </w:rPr>
            </w:pPr>
          </w:p>
        </w:tc>
        <w:tc>
          <w:tcPr>
            <w:tcW w:w="640" w:type="dxa"/>
            <w:vAlign w:val="center"/>
          </w:tcPr>
          <w:p w14:paraId="048E668A" w14:textId="77777777" w:rsidR="00C2593E" w:rsidRDefault="00C2593E" w:rsidP="00DA5B8C">
            <w:pPr>
              <w:spacing w:after="0"/>
              <w:ind w:right="20" w:firstLine="0"/>
              <w:jc w:val="center"/>
            </w:pPr>
          </w:p>
        </w:tc>
        <w:tc>
          <w:tcPr>
            <w:tcW w:w="777" w:type="dxa"/>
            <w:vAlign w:val="center"/>
          </w:tcPr>
          <w:p w14:paraId="66006125" w14:textId="77777777" w:rsidR="00C2593E" w:rsidRDefault="00C2593E" w:rsidP="00DA5B8C">
            <w:pPr>
              <w:spacing w:after="0"/>
              <w:ind w:right="20" w:firstLine="0"/>
              <w:jc w:val="center"/>
            </w:pPr>
          </w:p>
        </w:tc>
        <w:tc>
          <w:tcPr>
            <w:tcW w:w="1158" w:type="dxa"/>
            <w:vAlign w:val="center"/>
          </w:tcPr>
          <w:p w14:paraId="379BBE4E" w14:textId="77777777" w:rsidR="00C2593E" w:rsidRPr="00E57BDB" w:rsidRDefault="00C2593E" w:rsidP="00DA5B8C">
            <w:pPr>
              <w:spacing w:after="0"/>
              <w:ind w:firstLine="0"/>
              <w:jc w:val="center"/>
            </w:pPr>
          </w:p>
        </w:tc>
        <w:tc>
          <w:tcPr>
            <w:tcW w:w="1126" w:type="dxa"/>
            <w:vAlign w:val="center"/>
          </w:tcPr>
          <w:p w14:paraId="6CE08575" w14:textId="77777777" w:rsidR="00C2593E" w:rsidRPr="00E57BDB" w:rsidRDefault="00C2593E" w:rsidP="00DA5B8C">
            <w:pPr>
              <w:spacing w:after="0"/>
              <w:ind w:firstLine="0"/>
              <w:jc w:val="center"/>
            </w:pPr>
          </w:p>
        </w:tc>
        <w:tc>
          <w:tcPr>
            <w:tcW w:w="1399" w:type="dxa"/>
            <w:vAlign w:val="center"/>
          </w:tcPr>
          <w:p w14:paraId="7C6CD282" w14:textId="77777777" w:rsidR="00C2593E" w:rsidRDefault="00C2593E" w:rsidP="00DA5B8C">
            <w:pPr>
              <w:spacing w:after="0"/>
              <w:ind w:firstLine="0"/>
              <w:jc w:val="center"/>
            </w:pPr>
          </w:p>
        </w:tc>
        <w:tc>
          <w:tcPr>
            <w:tcW w:w="1672" w:type="dxa"/>
            <w:vAlign w:val="center"/>
          </w:tcPr>
          <w:p w14:paraId="75D4D2EA" w14:textId="77777777" w:rsidR="00C2593E" w:rsidRPr="00C2593E" w:rsidRDefault="00C2593E" w:rsidP="00DA5B8C">
            <w:pPr>
              <w:spacing w:after="0"/>
              <w:ind w:right="20" w:firstLine="0"/>
              <w:jc w:val="center"/>
            </w:pPr>
          </w:p>
        </w:tc>
      </w:tr>
      <w:tr w:rsidR="00C2593E" w:rsidRPr="00C2593E" w14:paraId="111E1ADD" w14:textId="77777777" w:rsidTr="00C2593E">
        <w:trPr>
          <w:jc w:val="center"/>
        </w:trPr>
        <w:tc>
          <w:tcPr>
            <w:tcW w:w="471" w:type="dxa"/>
          </w:tcPr>
          <w:p w14:paraId="6C3D1A81" w14:textId="77777777" w:rsidR="00C2593E" w:rsidRDefault="00C2593E" w:rsidP="00DA5B8C">
            <w:pPr>
              <w:spacing w:after="0"/>
              <w:ind w:right="20" w:firstLine="0"/>
              <w:jc w:val="center"/>
            </w:pPr>
            <w:r>
              <w:t>3</w:t>
            </w:r>
          </w:p>
        </w:tc>
        <w:tc>
          <w:tcPr>
            <w:tcW w:w="1691" w:type="dxa"/>
            <w:vAlign w:val="center"/>
          </w:tcPr>
          <w:p w14:paraId="7F2EB501" w14:textId="77777777" w:rsidR="00C2593E" w:rsidRPr="004E72EB" w:rsidRDefault="00C2593E" w:rsidP="00DA5B8C">
            <w:pPr>
              <w:spacing w:after="0"/>
              <w:ind w:hanging="6"/>
              <w:jc w:val="center"/>
              <w:rPr>
                <w:szCs w:val="24"/>
              </w:rPr>
            </w:pPr>
          </w:p>
        </w:tc>
        <w:tc>
          <w:tcPr>
            <w:tcW w:w="640" w:type="dxa"/>
            <w:vAlign w:val="center"/>
          </w:tcPr>
          <w:p w14:paraId="3DE2F38E" w14:textId="77777777" w:rsidR="00C2593E" w:rsidRDefault="00C2593E" w:rsidP="00DA5B8C">
            <w:pPr>
              <w:spacing w:after="0"/>
              <w:ind w:right="20" w:firstLine="0"/>
              <w:jc w:val="center"/>
            </w:pPr>
          </w:p>
        </w:tc>
        <w:tc>
          <w:tcPr>
            <w:tcW w:w="777" w:type="dxa"/>
            <w:vAlign w:val="center"/>
          </w:tcPr>
          <w:p w14:paraId="46A662BB" w14:textId="77777777" w:rsidR="00C2593E" w:rsidRDefault="00C2593E" w:rsidP="00DA5B8C">
            <w:pPr>
              <w:spacing w:after="0"/>
              <w:ind w:right="20" w:firstLine="0"/>
              <w:jc w:val="center"/>
            </w:pPr>
          </w:p>
        </w:tc>
        <w:tc>
          <w:tcPr>
            <w:tcW w:w="1158" w:type="dxa"/>
            <w:vAlign w:val="center"/>
          </w:tcPr>
          <w:p w14:paraId="78267918" w14:textId="77777777" w:rsidR="00C2593E" w:rsidRPr="00E57BDB" w:rsidRDefault="00C2593E" w:rsidP="00DA5B8C">
            <w:pPr>
              <w:spacing w:after="0"/>
              <w:ind w:firstLine="0"/>
              <w:jc w:val="center"/>
            </w:pPr>
          </w:p>
        </w:tc>
        <w:tc>
          <w:tcPr>
            <w:tcW w:w="1126" w:type="dxa"/>
            <w:vAlign w:val="center"/>
          </w:tcPr>
          <w:p w14:paraId="770093C3" w14:textId="77777777" w:rsidR="00C2593E" w:rsidRPr="00E57BDB" w:rsidRDefault="00C2593E" w:rsidP="00DA5B8C">
            <w:pPr>
              <w:spacing w:after="0"/>
              <w:ind w:firstLine="0"/>
              <w:jc w:val="center"/>
            </w:pPr>
          </w:p>
        </w:tc>
        <w:tc>
          <w:tcPr>
            <w:tcW w:w="1399" w:type="dxa"/>
            <w:vAlign w:val="center"/>
          </w:tcPr>
          <w:p w14:paraId="6C319E64" w14:textId="77777777" w:rsidR="00C2593E" w:rsidRDefault="00C2593E" w:rsidP="00DA5B8C">
            <w:pPr>
              <w:spacing w:after="0"/>
              <w:ind w:firstLine="0"/>
              <w:jc w:val="center"/>
            </w:pPr>
          </w:p>
        </w:tc>
        <w:tc>
          <w:tcPr>
            <w:tcW w:w="1672" w:type="dxa"/>
            <w:vAlign w:val="center"/>
          </w:tcPr>
          <w:p w14:paraId="46965A97" w14:textId="77777777" w:rsidR="00C2593E" w:rsidRPr="00C2593E" w:rsidRDefault="00C2593E" w:rsidP="00DA5B8C">
            <w:pPr>
              <w:spacing w:after="0"/>
              <w:ind w:right="20" w:firstLine="0"/>
              <w:jc w:val="center"/>
            </w:pPr>
          </w:p>
        </w:tc>
      </w:tr>
    </w:tbl>
    <w:p w14:paraId="4AF9591D" w14:textId="77777777" w:rsidR="000125DB" w:rsidRDefault="000125DB" w:rsidP="00DA5B8C">
      <w:pPr>
        <w:spacing w:after="0"/>
        <w:ind w:right="20" w:firstLine="0"/>
      </w:pPr>
      <w:r w:rsidRPr="000125DB">
        <w:t xml:space="preserve">     </w:t>
      </w:r>
    </w:p>
    <w:p w14:paraId="5ADC9CA7" w14:textId="77777777" w:rsidR="000125DB" w:rsidRPr="00163963" w:rsidRDefault="000125DB" w:rsidP="00DA5B8C">
      <w:pPr>
        <w:spacing w:after="0"/>
        <w:ind w:right="20" w:firstLine="0"/>
        <w:rPr>
          <w:highlight w:val="yellow"/>
        </w:rPr>
      </w:pPr>
      <w:r w:rsidRPr="00163963">
        <w:rPr>
          <w:highlight w:val="yellow"/>
        </w:rPr>
        <w:t xml:space="preserve">Общая сумма Договора составляет </w:t>
      </w:r>
      <w:r w:rsidR="00163963" w:rsidRPr="00163963">
        <w:rPr>
          <w:highlight w:val="yellow"/>
        </w:rPr>
        <w:t>______________</w:t>
      </w:r>
      <w:r w:rsidRPr="00163963">
        <w:rPr>
          <w:highlight w:val="yellow"/>
        </w:rPr>
        <w:t xml:space="preserve"> (</w:t>
      </w:r>
      <w:r w:rsidR="00163963" w:rsidRPr="00163963">
        <w:rPr>
          <w:highlight w:val="yellow"/>
          <w:u w:val="single"/>
        </w:rPr>
        <w:t>СУММА ПРОПИСЬЮ</w:t>
      </w:r>
      <w:r w:rsidRPr="00163963">
        <w:rPr>
          <w:highlight w:val="yellow"/>
        </w:rPr>
        <w:t xml:space="preserve">) рублей </w:t>
      </w:r>
      <w:r w:rsidR="00163963" w:rsidRPr="00163963">
        <w:rPr>
          <w:highlight w:val="yellow"/>
        </w:rPr>
        <w:t>________</w:t>
      </w:r>
      <w:r w:rsidRPr="00163963">
        <w:rPr>
          <w:highlight w:val="yellow"/>
        </w:rPr>
        <w:t xml:space="preserve"> копейки, включая НДС по ставке, установленной п.3 ст.164 НК РФ.</w:t>
      </w:r>
    </w:p>
    <w:p w14:paraId="5C729AD1" w14:textId="77777777" w:rsidR="00D11AFC" w:rsidRDefault="0096076D" w:rsidP="00DA5B8C">
      <w:pPr>
        <w:spacing w:after="0"/>
        <w:ind w:left="-15" w:right="20" w:firstLine="240"/>
      </w:pPr>
      <w:r>
        <w:t>2.2. Качество отгружаемого Товара должно соответствовать требованиям ГОСТа, ОСТа,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w:t>
      </w:r>
    </w:p>
    <w:p w14:paraId="33AA3033" w14:textId="77777777" w:rsidR="00D11AFC" w:rsidRDefault="0096076D" w:rsidP="00DA5B8C">
      <w:pPr>
        <w:spacing w:after="0"/>
        <w:ind w:left="-15" w:right="20"/>
      </w:pPr>
      <w:r>
        <w:t>2.3. Товар должен иметь статус товара, находящегося в свободном обращении на таможенной территории РФ.</w:t>
      </w:r>
    </w:p>
    <w:p w14:paraId="2307DA10" w14:textId="77777777" w:rsidR="00D11AFC" w:rsidRDefault="0096076D" w:rsidP="00DA5B8C">
      <w:pPr>
        <w:spacing w:after="0"/>
        <w:ind w:left="-15" w:right="20"/>
      </w:pPr>
      <w:r>
        <w:t>2.4. В случае поставки Товара</w:t>
      </w:r>
      <w:r w:rsidR="00AF4EC4">
        <w:t>,</w:t>
      </w:r>
      <w:r>
        <w:t xml:space="preserve"> не соответствующего по качеству</w:t>
      </w:r>
      <w:r w:rsidR="00A40DBD">
        <w:t>, количеству, комплектности или ассортименту п. 2.1</w:t>
      </w:r>
      <w:r w:rsidR="004E72EB">
        <w:t xml:space="preserve"> Договора</w:t>
      </w:r>
      <w:r>
        <w:t xml:space="preserve">, </w:t>
      </w:r>
      <w:r w:rsidR="0044105A" w:rsidRPr="00A40DBD">
        <w:t xml:space="preserve">данный </w:t>
      </w:r>
      <w:r w:rsidRPr="00A40DBD">
        <w:t>Товар будет</w:t>
      </w:r>
      <w:r w:rsidRPr="0044105A">
        <w:t xml:space="preserve"> считаться не поставленным.</w:t>
      </w:r>
    </w:p>
    <w:p w14:paraId="7F4560DD" w14:textId="77777777" w:rsidR="00D11AFC" w:rsidRDefault="0096076D" w:rsidP="00DA5B8C">
      <w:pPr>
        <w:spacing w:after="0"/>
        <w:ind w:left="-15" w:right="20" w:firstLine="360"/>
      </w:pPr>
      <w:r>
        <w:t>2.5. Приемка Товара по качеству, количеству и комплектности производится 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
    <w:p w14:paraId="23A20250" w14:textId="77777777" w:rsidR="00D11AFC" w:rsidRDefault="0096076D" w:rsidP="00DA5B8C">
      <w:pPr>
        <w:spacing w:after="0"/>
        <w:ind w:left="-15" w:right="20"/>
      </w:pPr>
      <w:r>
        <w:t xml:space="preserve">2.6. В случае выявления несоответствия качества и/или количества и/или комплектности и/или ассортимента 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14:paraId="193F6CA4" w14:textId="77777777" w:rsidR="00D11AFC" w:rsidRDefault="0096076D" w:rsidP="00DA5B8C">
      <w:pPr>
        <w:spacing w:after="0"/>
        <w:ind w:left="-15" w:right="20"/>
      </w:pPr>
      <w:r>
        <w:lastRenderedPageBreak/>
        <w:t>2.7. 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w:t>
      </w:r>
    </w:p>
    <w:p w14:paraId="31377E2F" w14:textId="77777777" w:rsidR="00D11AFC" w:rsidRDefault="0096076D" w:rsidP="00DA5B8C">
      <w:pPr>
        <w:spacing w:after="0"/>
        <w:ind w:left="-15" w:right="20"/>
      </w:pPr>
      <w:r>
        <w:t xml:space="preserve">2.8. 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14:paraId="38F0AA2A" w14:textId="77777777" w:rsidR="00D11AFC" w:rsidRDefault="0096076D" w:rsidP="00DA5B8C">
      <w:pPr>
        <w:spacing w:after="0"/>
        <w:ind w:left="-15" w:right="20"/>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14:paraId="03BCE5FA" w14:textId="77777777" w:rsidR="00D11AFC" w:rsidRDefault="0096076D" w:rsidP="00DA5B8C">
      <w:pPr>
        <w:spacing w:after="0"/>
        <w:ind w:left="-15" w:right="20" w:firstLine="360"/>
      </w:pPr>
      <w:r>
        <w:t>2.9. Поставщик обязан в течение 15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Товара считаются неисполненными в полном объеме, и Поставщик несет ответственность за просрочку поставки Товара.</w:t>
      </w:r>
    </w:p>
    <w:p w14:paraId="00CF5DB3" w14:textId="77777777" w:rsidR="00D11AFC" w:rsidRDefault="0096076D" w:rsidP="00DA5B8C">
      <w:pPr>
        <w:spacing w:after="0"/>
        <w:ind w:left="-15" w:right="20" w:firstLine="360"/>
      </w:pPr>
      <w:r>
        <w:t>2.10. Гарантийный срок Товара не может превышать срок, установленный заводом изготовителем. Если такой срок не установлен, стороны признают его равным 12 месяцам.</w:t>
      </w:r>
    </w:p>
    <w:p w14:paraId="718B940C" w14:textId="77777777" w:rsidR="00D11AFC" w:rsidRDefault="0096076D" w:rsidP="00DA5B8C">
      <w:pPr>
        <w:pStyle w:val="1"/>
        <w:spacing w:after="0"/>
        <w:ind w:left="240" w:right="37" w:hanging="240"/>
      </w:pPr>
      <w:r>
        <w:t>ПОРЯДОК И УСЛОВИЯ ОТГРУЗКИ</w:t>
      </w:r>
    </w:p>
    <w:p w14:paraId="12BB7614" w14:textId="77777777" w:rsidR="009F2029" w:rsidRPr="0031076F" w:rsidRDefault="007726A8" w:rsidP="00DA5B8C">
      <w:pPr>
        <w:spacing w:after="0"/>
      </w:pPr>
      <w:r>
        <w:t>3.1</w:t>
      </w:r>
      <w:r w:rsidR="0096076D" w:rsidRPr="00A40DBD">
        <w:t xml:space="preserve">. </w:t>
      </w:r>
      <w:r w:rsidR="00A40DBD">
        <w:t xml:space="preserve">Условия поставки - </w:t>
      </w:r>
      <w:r w:rsidR="00A40DBD" w:rsidRPr="00A40DBD">
        <w:rPr>
          <w:highlight w:val="yellow"/>
        </w:rPr>
        <w:t>п</w:t>
      </w:r>
      <w:r w:rsidR="009F2029" w:rsidRPr="00A40DBD">
        <w:rPr>
          <w:highlight w:val="yellow"/>
        </w:rPr>
        <w:t>оставка Товара производится силами и за счет Продавца, по следующим адресам:</w:t>
      </w:r>
      <w:r w:rsidR="009F2029" w:rsidRPr="0031076F">
        <w:t xml:space="preserve"> </w:t>
      </w:r>
    </w:p>
    <w:p w14:paraId="3CAD93BD" w14:textId="77777777" w:rsidR="00D11AFC" w:rsidRPr="00A40DBD" w:rsidRDefault="00266C29" w:rsidP="00DA5B8C">
      <w:pPr>
        <w:spacing w:after="0"/>
        <w:ind w:left="-15" w:right="20"/>
        <w:rPr>
          <w:highlight w:val="yellow"/>
        </w:rPr>
      </w:pPr>
      <w:r w:rsidRPr="00A40DBD">
        <w:rPr>
          <w:highlight w:val="yellow"/>
        </w:rPr>
        <w:t>ЦПС Новомосковск Тульская область, г.Новомосковск, ул.Свободы, 29;</w:t>
      </w:r>
    </w:p>
    <w:p w14:paraId="6A099585" w14:textId="77777777" w:rsidR="00D11AFC" w:rsidRDefault="007726A8" w:rsidP="00DA5B8C">
      <w:pPr>
        <w:spacing w:after="0"/>
        <w:ind w:left="-15" w:right="20"/>
      </w:pPr>
      <w:r>
        <w:t>3.2</w:t>
      </w:r>
      <w:r w:rsidR="0096076D">
        <w:t xml:space="preserve">. Датой исполнения Поставщиком обязательств по поставке считается дата передачи Товара Покупателю в полном объеме, в </w:t>
      </w:r>
      <w:r w:rsidR="0096076D" w:rsidRPr="00A40DBD">
        <w:t xml:space="preserve">соответствии </w:t>
      </w:r>
      <w:r w:rsidR="0044105A" w:rsidRPr="00A40DBD">
        <w:t>с п.2.1. Договора</w:t>
      </w:r>
      <w:r w:rsidR="0096076D" w:rsidRPr="00A40DBD">
        <w:t>. Право</w:t>
      </w:r>
      <w:r w:rsidR="0096076D">
        <w:t xml:space="preserve">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w:t>
      </w:r>
    </w:p>
    <w:p w14:paraId="572C076C" w14:textId="77777777" w:rsidR="00D11AFC" w:rsidRDefault="0096076D" w:rsidP="00DA5B8C">
      <w:pPr>
        <w:pStyle w:val="1"/>
        <w:spacing w:after="0"/>
        <w:ind w:left="240" w:right="36" w:hanging="240"/>
      </w:pPr>
      <w:r>
        <w:t>УСЛОВИЯ И ПОРЯДОК ОПЛАТЫ</w:t>
      </w:r>
    </w:p>
    <w:p w14:paraId="4F259293" w14:textId="77777777" w:rsidR="00D11AFC" w:rsidRDefault="007726A8" w:rsidP="00DA5B8C">
      <w:pPr>
        <w:spacing w:after="0"/>
        <w:ind w:left="-15" w:right="20"/>
      </w:pPr>
      <w:r>
        <w:t>4</w:t>
      </w:r>
      <w:r w:rsidR="0096076D">
        <w:t>.1. Оплата по настоящему Договору производится Покупателем путем перечисления денежных средств на расчетный счет Поставщика.</w:t>
      </w:r>
    </w:p>
    <w:p w14:paraId="6F74F128" w14:textId="77777777" w:rsidR="00D11AFC" w:rsidRDefault="007726A8" w:rsidP="00DA5B8C">
      <w:pPr>
        <w:spacing w:after="0"/>
        <w:ind w:left="-15" w:right="20"/>
      </w:pPr>
      <w:r>
        <w:t>4</w:t>
      </w:r>
      <w:r w:rsidR="0096076D">
        <w:t>.2. Датой оплаты Товара считается дата списания денежных средств с расчетного счета Покупателя.</w:t>
      </w:r>
    </w:p>
    <w:p w14:paraId="745490FA" w14:textId="77777777" w:rsidR="00D11AFC" w:rsidRDefault="007726A8" w:rsidP="00DA5B8C">
      <w:pPr>
        <w:spacing w:after="0"/>
        <w:ind w:left="-15" w:right="20"/>
      </w:pPr>
      <w:r>
        <w:t>4</w:t>
      </w:r>
      <w:r w:rsidR="0096076D">
        <w:t xml:space="preserve">.3. Оплата поставленного Товара производится Покупателем путем перечисления денежных средств на расчетный счет Поставщика, в ближайший четверг после истечения 10 банковских дней, исчисляемых с момента получения Покупателем Товара в полном объеме в соответствии </w:t>
      </w:r>
      <w:r w:rsidR="006B69BA">
        <w:t>с</w:t>
      </w:r>
      <w:r w:rsidR="00FF39B7">
        <w:t xml:space="preserve">о сроком поставки, </w:t>
      </w:r>
      <w:r w:rsidR="00FF39B7" w:rsidRPr="00A40DBD">
        <w:t>указанным в</w:t>
      </w:r>
      <w:r w:rsidR="006B69BA" w:rsidRPr="00A40DBD">
        <w:t xml:space="preserve"> </w:t>
      </w:r>
      <w:r w:rsidR="00FF39B7" w:rsidRPr="00A40DBD">
        <w:t xml:space="preserve">п.2.1. </w:t>
      </w:r>
      <w:r w:rsidR="006B69BA" w:rsidRPr="00A40DBD">
        <w:t>Договор</w:t>
      </w:r>
      <w:r w:rsidR="00FF39B7" w:rsidRPr="00A40DBD">
        <w:t>а</w:t>
      </w:r>
      <w:r w:rsidR="0096076D" w:rsidRPr="00A40DBD">
        <w:t>,</w:t>
      </w:r>
      <w:r w:rsidR="00FF39B7" w:rsidRPr="00A40DBD">
        <w:t xml:space="preserve"> а</w:t>
      </w:r>
      <w:r w:rsidR="00FF39B7">
        <w:t xml:space="preserve"> также предоставления</w:t>
      </w:r>
      <w:r w:rsidR="0096076D">
        <w:t xml:space="preserve"> оригинала накладной, оформленной в соответствии с действующим законодательством, сертификата соответствия, и документов, указанных в пункте 2.2. на поставленный Товар.</w:t>
      </w:r>
    </w:p>
    <w:p w14:paraId="6B4AB3FD" w14:textId="77777777" w:rsidR="00D11AFC" w:rsidRDefault="0096076D" w:rsidP="00DA5B8C">
      <w:pPr>
        <w:spacing w:after="0"/>
        <w:ind w:left="-15" w:right="20"/>
      </w:pPr>
      <w:r>
        <w:t>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w:t>
      </w:r>
    </w:p>
    <w:p w14:paraId="2BE7E3C7" w14:textId="77777777" w:rsidR="00D11AFC" w:rsidRDefault="007726A8" w:rsidP="00DA5B8C">
      <w:pPr>
        <w:spacing w:after="0"/>
        <w:ind w:left="-15" w:right="20" w:firstLine="360"/>
      </w:pPr>
      <w:r>
        <w:t>4</w:t>
      </w:r>
      <w:r w:rsidR="0096076D">
        <w:t>.4. Оригинал счет</w:t>
      </w:r>
      <w:r w:rsidR="00A40DBD">
        <w:t>а</w:t>
      </w:r>
      <w:r w:rsidR="0096076D">
        <w:t>-фактуры/УПД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w:t>
      </w:r>
      <w:r w:rsidR="00A40DBD">
        <w:t>а</w:t>
      </w:r>
      <w:r w:rsidR="0096076D">
        <w:t>-</w:t>
      </w:r>
      <w:r w:rsidR="0096076D">
        <w:lastRenderedPageBreak/>
        <w:t>фактуры/УПД иными лицами, образцы их подписей, а также полномочия по подписанию счет</w:t>
      </w:r>
      <w:r w:rsidR="00A40DBD">
        <w:t>а</w:t>
      </w:r>
      <w:r w:rsidR="0096076D">
        <w:t>-фактуры/УПД, должны быть подтверждены доверенностью. В случае представления счет</w:t>
      </w:r>
      <w:r w:rsidR="00A40DBD">
        <w:t>а</w:t>
      </w:r>
      <w:r w:rsidR="0096076D">
        <w:t>-фактуры/УПД с нарушением данного условия, счет-фактура/УПД считается не представленной.</w:t>
      </w:r>
    </w:p>
    <w:p w14:paraId="7A1A0E4C" w14:textId="77777777" w:rsidR="00D11AFC" w:rsidRDefault="007726A8" w:rsidP="00DA5B8C">
      <w:pPr>
        <w:spacing w:after="0"/>
        <w:ind w:left="-15" w:right="20" w:firstLine="360"/>
      </w:pPr>
      <w:r>
        <w:t>4</w:t>
      </w:r>
      <w:r w:rsidR="0096076D">
        <w:t>.5. 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14:paraId="20313EF8" w14:textId="77777777" w:rsidR="00D11AFC" w:rsidRDefault="0096076D" w:rsidP="00DA5B8C">
      <w:pPr>
        <w:pStyle w:val="1"/>
        <w:spacing w:after="0"/>
        <w:ind w:left="240" w:right="42" w:hanging="240"/>
      </w:pPr>
      <w:r>
        <w:t>ГАРАНТИЙНЫЕ ОБЯЗАТЕЛЬСТВА</w:t>
      </w:r>
    </w:p>
    <w:p w14:paraId="1C4962E6" w14:textId="77777777" w:rsidR="00D11AFC" w:rsidRDefault="007726A8" w:rsidP="00DA5B8C">
      <w:pPr>
        <w:spacing w:after="0"/>
        <w:ind w:left="-15" w:right="20" w:firstLine="360"/>
      </w:pPr>
      <w:r>
        <w:t>5</w:t>
      </w:r>
      <w:r w:rsidR="0096076D">
        <w:t>.1.  Поставщик предоставляет Покупателю гарантию, равную 12</w:t>
      </w:r>
      <w:r w:rsidR="00A40DBD">
        <w:t xml:space="preserve"> месяцам с даты поставки Товара, если иное не оговорено в документации производителя.</w:t>
      </w:r>
    </w:p>
    <w:p w14:paraId="4663CAE0" w14:textId="77777777" w:rsidR="00D11AFC" w:rsidRDefault="007726A8" w:rsidP="00DA5B8C">
      <w:pPr>
        <w:spacing w:after="0"/>
        <w:ind w:left="-15" w:right="20" w:firstLine="360"/>
      </w:pPr>
      <w:r>
        <w:t>5</w:t>
      </w:r>
      <w:r w:rsidR="0096076D">
        <w:t xml:space="preserve">.2.  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w:t>
      </w:r>
      <w:r w:rsidR="00163963" w:rsidRPr="00163963">
        <w:rPr>
          <w:highlight w:val="yellow"/>
        </w:rPr>
        <w:t>______________</w:t>
      </w:r>
      <w:r w:rsidR="0096076D">
        <w:t xml:space="preserve"> </w:t>
      </w:r>
      <w:r w:rsidR="00163963">
        <w:t>с обязательным предоставлением</w:t>
      </w:r>
      <w:r w:rsidR="0096076D">
        <w:t xml:space="preserve"> оригинала.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 получателя.</w:t>
      </w:r>
    </w:p>
    <w:p w14:paraId="7D6ACB7D" w14:textId="77777777" w:rsidR="00D11AFC" w:rsidRDefault="007726A8" w:rsidP="00DA5B8C">
      <w:pPr>
        <w:spacing w:after="0"/>
        <w:ind w:left="-15" w:right="20"/>
      </w:pPr>
      <w:r>
        <w:t>5</w:t>
      </w:r>
      <w:r w:rsidR="0096076D">
        <w:t xml:space="preserve">.3.   Поставщик обязан заменить дефектный Товар, или части к нему на новое в срок не позднее 15 календарных дней с даты направления письменной претензии Покупателем, переданной посредством факсимильной связи и/или по электронной почте на адрес: </w:t>
      </w:r>
      <w:r w:rsidR="00163963">
        <w:rPr>
          <w:highlight w:val="yellow"/>
        </w:rPr>
        <w:t>__________________</w:t>
      </w:r>
      <w:r w:rsidR="0096076D" w:rsidRPr="00A40DBD">
        <w:rPr>
          <w:highlight w:val="yellow"/>
        </w:rPr>
        <w:t xml:space="preserve"> с</w:t>
      </w:r>
      <w:r w:rsidR="0096076D">
        <w:t xml:space="preserve"> обязательным предоставлением оригинала. Гарантийный срок на отремонтированный или замененный по гарантии Товар, или частей к нему, поставленных взамен дефектных, начинает отчитываться заново с момента ввода Товара, в эксплуатацию после его замены или ремонта.</w:t>
      </w:r>
    </w:p>
    <w:p w14:paraId="050D6BA1" w14:textId="77777777" w:rsidR="00D11AFC" w:rsidRDefault="007726A8" w:rsidP="00DA5B8C">
      <w:pPr>
        <w:spacing w:after="0"/>
        <w:ind w:left="-15" w:right="20"/>
      </w:pPr>
      <w:r>
        <w:t>5</w:t>
      </w:r>
      <w:r w:rsidR="0096076D">
        <w:t>.4.   По согласованию с Покупателем срок устранения дефектов устранения дефектов может быть продлен в зависимости от технологического срока изготовления Товара, либо деталей на заводе-изготовителе.</w:t>
      </w:r>
    </w:p>
    <w:p w14:paraId="6EE6C4A5" w14:textId="77777777" w:rsidR="00D11AFC" w:rsidRDefault="007726A8" w:rsidP="00DA5B8C">
      <w:pPr>
        <w:spacing w:after="0"/>
        <w:ind w:left="-15" w:right="20"/>
      </w:pPr>
      <w:r>
        <w:t>5</w:t>
      </w:r>
      <w:r w:rsidR="0096076D">
        <w:t>.5.   В период гарантийного срока расходы, связанные с транспортировкой Товара, для замены, несет Поставщик.</w:t>
      </w:r>
    </w:p>
    <w:p w14:paraId="2612E0E2" w14:textId="77777777" w:rsidR="00D11AFC" w:rsidRDefault="007726A8" w:rsidP="00DA5B8C">
      <w:pPr>
        <w:spacing w:after="0"/>
        <w:ind w:left="-15" w:right="20"/>
      </w:pPr>
      <w:r>
        <w:t>5</w:t>
      </w:r>
      <w:r w:rsidR="0096076D">
        <w:t>.6. 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w:t>
      </w:r>
    </w:p>
    <w:p w14:paraId="5C746204" w14:textId="77777777" w:rsidR="000125DB" w:rsidRDefault="000125DB" w:rsidP="00DA5B8C">
      <w:pPr>
        <w:pStyle w:val="1"/>
        <w:spacing w:after="0"/>
        <w:ind w:left="240" w:right="39" w:hanging="240"/>
      </w:pPr>
      <w:r>
        <w:t xml:space="preserve"> ПРОЧИЕ УСЛОВИЯ</w:t>
      </w:r>
    </w:p>
    <w:p w14:paraId="77E12A36" w14:textId="77777777" w:rsidR="00DF2D17" w:rsidRPr="00DF2D17" w:rsidRDefault="007726A8" w:rsidP="00DA5B8C">
      <w:pPr>
        <w:spacing w:after="0" w:line="235" w:lineRule="auto"/>
        <w:rPr>
          <w:rStyle w:val="11"/>
        </w:rPr>
      </w:pPr>
      <w:r>
        <w:rPr>
          <w:szCs w:val="24"/>
        </w:rPr>
        <w:t xml:space="preserve">6.1 </w:t>
      </w:r>
      <w:r w:rsidR="00DF2D17" w:rsidRPr="00B36F4B">
        <w:rPr>
          <w:szCs w:val="24"/>
        </w:rPr>
        <w:t xml:space="preserve">Стороны могут обмениваться электронными документами (ЭД) при наличии у них необходимых условий. </w:t>
      </w:r>
      <w:r w:rsidR="00DF2D17" w:rsidRPr="00B36F4B">
        <w:rPr>
          <w:rStyle w:val="11"/>
          <w:rFonts w:eastAsia="Calibri"/>
          <w:szCs w:val="24"/>
        </w:rPr>
        <w:t>Передача электронных документов осуществляется с соблюдением всех требований законодательства через аккредитованного ФНС РФ оператора электронного документооборота</w:t>
      </w:r>
      <w:r w:rsidR="00DF2D17" w:rsidRPr="00B36F4B">
        <w:rPr>
          <w:rStyle w:val="11"/>
          <w:szCs w:val="24"/>
        </w:rPr>
        <w:t>.</w:t>
      </w:r>
      <w:r w:rsidR="00DF2D17" w:rsidRPr="00B36F4B">
        <w:rPr>
          <w:rStyle w:val="11"/>
          <w:rFonts w:eastAsia="Calibri"/>
          <w:szCs w:val="24"/>
        </w:rPr>
        <w:t xml:space="preserve"> Получение документов в электронном виде и подписанных электронной подписью (ЭП), эквивалентно получению документов на бумажном носителе.</w:t>
      </w:r>
      <w:r w:rsidR="00DF2D17" w:rsidRPr="00B36F4B">
        <w:rPr>
          <w:rStyle w:val="11"/>
          <w:szCs w:val="24"/>
        </w:rPr>
        <w:t xml:space="preserve"> </w:t>
      </w:r>
    </w:p>
    <w:p w14:paraId="141D5600" w14:textId="77777777" w:rsidR="00DF2D17" w:rsidRPr="00B36F4B" w:rsidRDefault="007726A8" w:rsidP="00DA5B8C">
      <w:pPr>
        <w:spacing w:after="0"/>
        <w:rPr>
          <w:rStyle w:val="11"/>
          <w:szCs w:val="24"/>
        </w:rPr>
      </w:pPr>
      <w:r>
        <w:rPr>
          <w:rStyle w:val="11"/>
          <w:szCs w:val="24"/>
        </w:rPr>
        <w:t xml:space="preserve">6.2 </w:t>
      </w:r>
      <w:r w:rsidR="00DF2D17" w:rsidRPr="00B36F4B">
        <w:rPr>
          <w:rStyle w:val="11"/>
          <w:szCs w:val="24"/>
        </w:rPr>
        <w:t>Поставщик направляет Покупателю ЭД об отгрузке Товара не позднее дня отгрузки.</w:t>
      </w:r>
    </w:p>
    <w:p w14:paraId="4479058E" w14:textId="77777777" w:rsidR="00DF2D17" w:rsidRPr="00B36F4B" w:rsidRDefault="00DF2D17" w:rsidP="00DA5B8C">
      <w:pPr>
        <w:spacing w:after="0"/>
        <w:rPr>
          <w:rStyle w:val="11"/>
          <w:szCs w:val="24"/>
        </w:rPr>
      </w:pPr>
      <w:r w:rsidRPr="00B36F4B">
        <w:rPr>
          <w:rStyle w:val="11"/>
          <w:rFonts w:eastAsia="Calibri"/>
          <w:szCs w:val="24"/>
        </w:rPr>
        <w:t>Стороны обязуются в срок не позднее 2 (Двух) рабочих дней, если иные сроки не установлены для соответствующих документов нормативно-правовыми актами или договором, осуществлять прием и подписание ЭП (в случае необходимости) документов, полученных от другой стороны и Оператора.</w:t>
      </w:r>
    </w:p>
    <w:p w14:paraId="71D70455" w14:textId="77777777" w:rsidR="00DF2D17" w:rsidRPr="00B36F4B" w:rsidRDefault="007726A8" w:rsidP="00DA5B8C">
      <w:pPr>
        <w:spacing w:after="0"/>
        <w:rPr>
          <w:rFonts w:eastAsia="Calibri"/>
          <w:szCs w:val="24"/>
        </w:rPr>
      </w:pPr>
      <w:r>
        <w:rPr>
          <w:szCs w:val="24"/>
        </w:rPr>
        <w:t xml:space="preserve">6.3 </w:t>
      </w:r>
      <w:r w:rsidR="00DF2D17" w:rsidRPr="00B36F4B">
        <w:rPr>
          <w:szCs w:val="24"/>
        </w:rPr>
        <w:t>В случае невозможности передачи электронного документа Стороны оформляют и передают оригиналы документов на бумажных носителях.</w:t>
      </w:r>
    </w:p>
    <w:p w14:paraId="60CE125C" w14:textId="77777777" w:rsidR="00DF2D17" w:rsidRPr="00B36F4B" w:rsidRDefault="00DF2D17" w:rsidP="00DA5B8C">
      <w:pPr>
        <w:pStyle w:val="a4"/>
        <w:spacing w:after="0"/>
        <w:ind w:left="0" w:right="0" w:firstLine="290"/>
      </w:pPr>
      <w:r w:rsidRPr="00B36F4B">
        <w:t>Стороны обеспечивают срок хранения ЭД в течение срока, установленного законодательством РФ.</w:t>
      </w:r>
    </w:p>
    <w:p w14:paraId="5CA33966" w14:textId="77777777" w:rsidR="00DF2D17" w:rsidRPr="00B36F4B" w:rsidRDefault="007726A8" w:rsidP="00DA5B8C">
      <w:pPr>
        <w:pStyle w:val="a4"/>
        <w:spacing w:after="0"/>
        <w:ind w:left="0" w:right="0" w:firstLine="284"/>
      </w:pPr>
      <w:r>
        <w:t xml:space="preserve">6.4 </w:t>
      </w:r>
      <w:r w:rsidR="00DF2D17" w:rsidRPr="00B36F4B">
        <w:t xml:space="preserve">В случае отказа любой из Сторон от обмена документами в электронном виде, подписанными ЭП, такая сторона обязана известить другую Сторону за 30 (Тридцать) календарных дней до предполагаемой даты окончания использования ЭД. </w:t>
      </w:r>
    </w:p>
    <w:p w14:paraId="66E98FC4" w14:textId="77777777" w:rsidR="00D11AFC" w:rsidRDefault="0096076D" w:rsidP="00DA5B8C">
      <w:pPr>
        <w:pStyle w:val="1"/>
        <w:spacing w:after="0"/>
        <w:ind w:left="240" w:right="39" w:hanging="240"/>
      </w:pPr>
      <w:r>
        <w:lastRenderedPageBreak/>
        <w:t>ОТВЕТСТВЕННОСТЬ СТОРОН</w:t>
      </w:r>
    </w:p>
    <w:p w14:paraId="293D36D5" w14:textId="77777777" w:rsidR="00D11AFC" w:rsidRDefault="0096076D" w:rsidP="00DA5B8C">
      <w:pPr>
        <w:spacing w:after="0"/>
        <w:ind w:left="-15" w:right="20"/>
      </w:pPr>
      <w:r>
        <w:t xml:space="preserve">7.1. В случае не поставки Товара в срок, указанный в </w:t>
      </w:r>
      <w:r w:rsidR="00FF39B7">
        <w:t xml:space="preserve">п.2.1 </w:t>
      </w:r>
      <w:r w:rsidR="00FF39B7" w:rsidRPr="00A40DBD">
        <w:t>Договора</w:t>
      </w:r>
      <w:r w:rsidRPr="00A40DBD">
        <w:t>, Покупатель вправе предъявить Поставщику штраф в</w:t>
      </w:r>
      <w:r w:rsidR="006F6C71" w:rsidRPr="00A40DBD">
        <w:t xml:space="preserve"> размере 0,1</w:t>
      </w:r>
      <w:r w:rsidR="0044105A" w:rsidRPr="00A40DBD">
        <w:t xml:space="preserve"> процента от </w:t>
      </w:r>
      <w:r w:rsidR="00A40DBD">
        <w:t xml:space="preserve">стоимости всего </w:t>
      </w:r>
      <w:r w:rsidR="0044105A" w:rsidRPr="00A40DBD">
        <w:t xml:space="preserve">Товара </w:t>
      </w:r>
      <w:r w:rsidR="00A40DBD">
        <w:t xml:space="preserve">согласно п. 2.1 </w:t>
      </w:r>
      <w:r w:rsidR="0044105A" w:rsidRPr="00A40DBD">
        <w:t xml:space="preserve">за </w:t>
      </w:r>
      <w:r w:rsidRPr="00A40DBD">
        <w:t>каждый день нарушения срока поставки. Уплата</w:t>
      </w:r>
      <w:r>
        <w:t xml:space="preserve"> указанного штрафа может производиться путем уменьшения суммы платежа за партию поставленного Товара на сумму начисленного штрафа.</w:t>
      </w:r>
    </w:p>
    <w:p w14:paraId="2C6D610C" w14:textId="77777777" w:rsidR="00D11AFC" w:rsidRDefault="0096076D" w:rsidP="00DA5B8C">
      <w:pPr>
        <w:spacing w:after="0"/>
        <w:ind w:left="-15" w:right="20"/>
      </w:pPr>
      <w:r>
        <w:t>7.2. В случае нарушения сроков проведения расчетов за поставленный Товар Поставщик вправе предъявит</w:t>
      </w:r>
      <w:r w:rsidR="006F6C71">
        <w:t>ь Покупателю штраф в размере 0,1</w:t>
      </w:r>
      <w:r>
        <w:t xml:space="preserve">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w:t>
      </w:r>
    </w:p>
    <w:p w14:paraId="7B30D0C3" w14:textId="77777777" w:rsidR="00D11AFC" w:rsidRDefault="0096076D" w:rsidP="00DA5B8C">
      <w:pPr>
        <w:spacing w:after="0"/>
        <w:ind w:left="-15" w:right="20"/>
      </w:pPr>
      <w:r>
        <w:t>7.3. 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w:t>
      </w:r>
      <w:r w:rsidR="003A1347">
        <w:t>е</w:t>
      </w:r>
      <w:r>
        <w:t xml:space="preserve">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14:paraId="1AC5CD04" w14:textId="77777777" w:rsidR="00D11AFC" w:rsidRDefault="0096076D" w:rsidP="00DA5B8C">
      <w:pPr>
        <w:spacing w:after="0"/>
        <w:ind w:left="-15" w:right="20"/>
      </w:pPr>
      <w:r>
        <w:t>7.4. 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14:paraId="3156D5D1" w14:textId="77777777" w:rsidR="00D11AFC" w:rsidRDefault="0096076D" w:rsidP="00DA5B8C">
      <w:pPr>
        <w:spacing w:after="0"/>
        <w:ind w:left="-15" w:right="20"/>
      </w:pPr>
      <w:r>
        <w:t>7.5. В случае,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14:paraId="6B5571B7" w14:textId="77777777" w:rsidR="00D11AFC" w:rsidRDefault="0096076D" w:rsidP="00DA5B8C">
      <w:pPr>
        <w:spacing w:after="0"/>
        <w:ind w:left="-15" w:right="20"/>
      </w:pPr>
      <w:r>
        <w:t>7.6.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14:paraId="47F85B90" w14:textId="77777777" w:rsidR="00D11AFC" w:rsidRDefault="0096076D" w:rsidP="00DA5B8C">
      <w:pPr>
        <w:spacing w:after="0"/>
        <w:ind w:left="-15" w:right="20"/>
      </w:pPr>
      <w:r>
        <w:t>7.7. В случае заключения договора на основании проведенного тендера, и последующего отказа от выполнения обязательств по поставке, Покупатель имеет право взыскать с Поставщика штраф</w:t>
      </w:r>
      <w:r w:rsidR="007726A8">
        <w:t xml:space="preserve"> в размере 15 % от суммы Договора</w:t>
      </w:r>
      <w:r>
        <w:t xml:space="preserve"> и/или приобрести непоставленный Товар у других лиц с отнесением на Поставщика всех необходимых и разумных расходов на его приобретение в соответствии со статьей 520 ГК РФ.</w:t>
      </w:r>
    </w:p>
    <w:p w14:paraId="53C3E219" w14:textId="77777777" w:rsidR="00D11AFC" w:rsidRDefault="0096076D" w:rsidP="00DA5B8C">
      <w:pPr>
        <w:pStyle w:val="1"/>
        <w:spacing w:after="0"/>
        <w:ind w:left="240" w:right="25" w:hanging="240"/>
      </w:pPr>
      <w:r>
        <w:t>ФОРС-МАЖОР</w:t>
      </w:r>
    </w:p>
    <w:p w14:paraId="1CC5CC66" w14:textId="77777777" w:rsidR="00D11AFC" w:rsidRDefault="0096076D" w:rsidP="00DA5B8C">
      <w:pPr>
        <w:spacing w:after="0" w:line="244" w:lineRule="auto"/>
        <w:ind w:right="0" w:firstLine="0"/>
        <w:jc w:val="left"/>
      </w:pPr>
      <w:r>
        <w:t xml:space="preserve">     8.1.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w:t>
      </w:r>
    </w:p>
    <w:p w14:paraId="6B3F2D6F" w14:textId="77777777" w:rsidR="00D11AFC" w:rsidRDefault="0096076D" w:rsidP="00DA5B8C">
      <w:pPr>
        <w:spacing w:after="0"/>
        <w:ind w:left="-15" w:right="20"/>
      </w:pPr>
      <w:r>
        <w:t>8.2. 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14:paraId="71BEE6FE" w14:textId="77777777" w:rsidR="00D11AFC" w:rsidRDefault="0096076D" w:rsidP="00DA5B8C">
      <w:pPr>
        <w:spacing w:after="0"/>
        <w:ind w:left="-15" w:right="20"/>
      </w:pPr>
      <w:r>
        <w:t>8.3. При наступлении форс-мажорных обстоятельств и при условии исполнения требований пункта 8.2.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14:paraId="69D93EC6" w14:textId="77777777" w:rsidR="00D11AFC" w:rsidRDefault="0096076D" w:rsidP="00DA5B8C">
      <w:pPr>
        <w:pStyle w:val="1"/>
        <w:spacing w:after="0"/>
        <w:ind w:left="240" w:right="27" w:hanging="240"/>
      </w:pPr>
      <w:r>
        <w:lastRenderedPageBreak/>
        <w:t>ПОРЯДОК УРЕГУЛИРОВАНИЯ СПОРОВ</w:t>
      </w:r>
    </w:p>
    <w:p w14:paraId="4E4A0F71" w14:textId="77777777" w:rsidR="00D11AFC" w:rsidRDefault="0096076D" w:rsidP="00DA5B8C">
      <w:pPr>
        <w:spacing w:after="0"/>
        <w:ind w:left="-15" w:right="20"/>
      </w:pPr>
      <w:r>
        <w:t>9.1. Претензионный (досудебный) порядок урегулирования споров по настоящему Договору является обязательным.</w:t>
      </w:r>
    </w:p>
    <w:p w14:paraId="0A3F2FE8" w14:textId="77777777" w:rsidR="00D11AFC" w:rsidRDefault="0096076D" w:rsidP="00DA5B8C">
      <w:pPr>
        <w:spacing w:after="0"/>
        <w:ind w:left="-15" w:right="20"/>
      </w:pPr>
      <w:r>
        <w:t>9.2. Стороны договорились, что предпримут все возможное для разрешения споров, возникающих из настоящего Договора или в связи с ним, путем переговоров.</w:t>
      </w:r>
    </w:p>
    <w:p w14:paraId="351D8031" w14:textId="77777777" w:rsidR="00D11AFC" w:rsidRDefault="0096076D" w:rsidP="00DA5B8C">
      <w:pPr>
        <w:spacing w:after="0"/>
        <w:ind w:left="-15" w:right="20"/>
      </w:pPr>
      <w:r>
        <w:t>9.3. Стороны достигли соглашения, что в случае недостижения договоренности Сторон все спорные вопросы разрешаются Арбитражным судом Оренбургской области.</w:t>
      </w:r>
    </w:p>
    <w:p w14:paraId="6D6D669C" w14:textId="77777777" w:rsidR="00D11AFC" w:rsidRDefault="0096076D" w:rsidP="00DA5B8C">
      <w:pPr>
        <w:pStyle w:val="1"/>
        <w:spacing w:after="0"/>
        <w:ind w:left="360" w:right="31" w:hanging="360"/>
      </w:pPr>
      <w:r>
        <w:t>СРОК ДЕЙСТВИЯ ДОГОВОРА</w:t>
      </w:r>
    </w:p>
    <w:p w14:paraId="190654CD" w14:textId="77777777" w:rsidR="00D11AFC" w:rsidRDefault="0096076D" w:rsidP="00DA5B8C">
      <w:pPr>
        <w:spacing w:after="0"/>
        <w:ind w:left="-15" w:right="20"/>
      </w:pPr>
      <w:r>
        <w:t>10.1. Настоящий Договор вступает в силу с момента его подписания обеим</w:t>
      </w:r>
      <w:r w:rsidR="0044105A">
        <w:t xml:space="preserve">и Сторонами и действует </w:t>
      </w:r>
      <w:r w:rsidR="0044105A" w:rsidRPr="00163963">
        <w:t xml:space="preserve">до </w:t>
      </w:r>
      <w:r w:rsidR="00CF0E5A" w:rsidRPr="00163963">
        <w:t>31.12</w:t>
      </w:r>
      <w:r w:rsidR="0044105A" w:rsidRPr="00163963">
        <w:t>.2023</w:t>
      </w:r>
      <w:r w:rsidR="00163963" w:rsidRPr="00163963">
        <w:t xml:space="preserve"> </w:t>
      </w:r>
      <w:r w:rsidRPr="00163963">
        <w:t>г., а в части</w:t>
      </w:r>
      <w:r>
        <w:t xml:space="preserve"> расчетов до полного их завершения</w:t>
      </w:r>
      <w:r w:rsidR="0044105A">
        <w:t>.</w:t>
      </w:r>
    </w:p>
    <w:p w14:paraId="22F00621" w14:textId="77777777" w:rsidR="00D11AFC" w:rsidRDefault="0096076D" w:rsidP="00DA5B8C">
      <w:pPr>
        <w:spacing w:after="0"/>
        <w:ind w:left="-15" w:right="20"/>
      </w:pPr>
      <w:r>
        <w:t>10.2. 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14:paraId="6D27E8AB" w14:textId="77777777" w:rsidR="00D11AFC" w:rsidRDefault="0096076D" w:rsidP="00DA5B8C">
      <w:pPr>
        <w:spacing w:after="0"/>
        <w:ind w:left="-15" w:right="20"/>
      </w:pPr>
      <w:r>
        <w:t xml:space="preserve">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  </w:t>
      </w:r>
    </w:p>
    <w:p w14:paraId="2F15C94E" w14:textId="77777777" w:rsidR="00D11AFC" w:rsidRDefault="0096076D" w:rsidP="00DA5B8C">
      <w:pPr>
        <w:pStyle w:val="1"/>
        <w:spacing w:after="0"/>
        <w:ind w:left="347" w:right="35" w:hanging="347"/>
      </w:pPr>
      <w:r>
        <w:t>АНТИКОРРУПЦИОННЫЕ УСЛОВИЯ</w:t>
      </w:r>
    </w:p>
    <w:p w14:paraId="71D87F70" w14:textId="77777777" w:rsidR="00D11AFC" w:rsidRDefault="0096076D" w:rsidP="00DA5B8C">
      <w:pPr>
        <w:spacing w:after="0"/>
        <w:ind w:left="-15" w:right="20"/>
      </w:pPr>
      <w:r>
        <w:t>11.1. 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14:paraId="199DDE2E" w14:textId="77777777" w:rsidR="00D11AFC" w:rsidRDefault="0096076D" w:rsidP="00DA5B8C">
      <w:pPr>
        <w:numPr>
          <w:ilvl w:val="0"/>
          <w:numId w:val="1"/>
        </w:numPr>
        <w:spacing w:after="0"/>
        <w:ind w:right="20"/>
      </w:pPr>
      <w:r>
        <w:t>запрет предложения или представления, а так же запрет давать согласие на</w:t>
      </w:r>
      <w:r w:rsidR="008C4CF7" w:rsidRPr="008C4CF7">
        <w:t xml:space="preserve"> </w:t>
      </w:r>
      <w:r>
        <w:t>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14:paraId="5861532A" w14:textId="77777777" w:rsidR="00D11AFC" w:rsidRDefault="0096076D" w:rsidP="00DA5B8C">
      <w:pPr>
        <w:numPr>
          <w:ilvl w:val="0"/>
          <w:numId w:val="1"/>
        </w:numPr>
        <w:spacing w:after="0"/>
        <w:ind w:right="20"/>
      </w:pPr>
      <w:r>
        <w:t>запрет добиваться получения, принимать или соглашаться принять от любого</w:t>
      </w:r>
      <w:r w:rsidR="00DA1FC8" w:rsidRPr="00DA1FC8">
        <w:t xml:space="preserve"> </w:t>
      </w:r>
      <w:r>
        <w:t>сотрудника Сторон какие-либо коррупционные выплаты (денежные средства, ценные подарки, иное имущество или имущественные права и т.п.);</w:t>
      </w:r>
    </w:p>
    <w:p w14:paraId="28C064E6" w14:textId="77777777" w:rsidR="00D11AFC" w:rsidRDefault="0096076D" w:rsidP="00DA5B8C">
      <w:pPr>
        <w:numPr>
          <w:ilvl w:val="0"/>
          <w:numId w:val="1"/>
        </w:numPr>
        <w:spacing w:after="0"/>
        <w:ind w:right="20"/>
      </w:pPr>
      <w:r>
        <w:t>запрет предложения или предоставления каких-либо коррупционных выплат(денежных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14:paraId="77EBA1F2" w14:textId="77777777" w:rsidR="00D11AFC" w:rsidRDefault="0096076D" w:rsidP="00DA5B8C">
      <w:pPr>
        <w:numPr>
          <w:ilvl w:val="1"/>
          <w:numId w:val="2"/>
        </w:numPr>
        <w:spacing w:after="0"/>
        <w:ind w:left="0" w:right="20" w:firstLine="284"/>
      </w:pPr>
      <w:r>
        <w:t>В случае возникновения у Стороны подозрений, что произошло или может</w:t>
      </w:r>
      <w:r w:rsidR="007E2EBC">
        <w:t xml:space="preserve"> </w:t>
      </w:r>
      <w:r>
        <w:t>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5B0AB50" w14:textId="77777777" w:rsidR="00D11AFC" w:rsidRDefault="0096076D" w:rsidP="00DA5B8C">
      <w:pPr>
        <w:numPr>
          <w:ilvl w:val="1"/>
          <w:numId w:val="2"/>
        </w:numPr>
        <w:spacing w:after="0"/>
        <w:ind w:left="0" w:right="20" w:firstLine="284"/>
      </w:pPr>
      <w:r>
        <w:lastRenderedPageBreak/>
        <w:t>В случаях, предусмотренных законодательством Российской Федерации, Сторона</w:t>
      </w:r>
      <w:r w:rsidR="007E2EBC">
        <w:t xml:space="preserve"> </w:t>
      </w:r>
      <w:r>
        <w:t>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14:paraId="3D86F53F" w14:textId="77777777" w:rsidR="00D11AFC" w:rsidRDefault="0096076D" w:rsidP="00DA5B8C">
      <w:pPr>
        <w:pStyle w:val="1"/>
        <w:spacing w:after="0"/>
        <w:ind w:left="360" w:right="46" w:hanging="360"/>
      </w:pPr>
      <w:r>
        <w:t>ЗАКЛЮЧИТЕЛЬНЫЕ ПОЛОЖЕНИЯ</w:t>
      </w:r>
    </w:p>
    <w:p w14:paraId="7D7B462D" w14:textId="77777777" w:rsidR="00D11AFC" w:rsidRDefault="0096076D" w:rsidP="00DA5B8C">
      <w:pPr>
        <w:spacing w:after="0"/>
        <w:ind w:left="-15" w:right="20" w:firstLine="360"/>
      </w:pPr>
      <w:r>
        <w:t>12.1.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14:paraId="7D4039CF" w14:textId="77777777" w:rsidR="00D11AFC" w:rsidRDefault="0096076D" w:rsidP="00DA5B8C">
      <w:pPr>
        <w:spacing w:after="0"/>
        <w:ind w:left="-15" w:right="20"/>
      </w:pPr>
      <w:r>
        <w:t>12.2.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14:paraId="23F6B802" w14:textId="77777777" w:rsidR="00D11AFC" w:rsidRDefault="0096076D" w:rsidP="00DA5B8C">
      <w:pPr>
        <w:spacing w:after="0"/>
        <w:ind w:left="-15" w:right="20"/>
      </w:pPr>
      <w:r>
        <w:t>12.3. Любая из Сторон в случае изменения своих адресов и реквизитов, указанных ниже, обязана незамедлительно проинформировать об этом другую Сторону.</w:t>
      </w:r>
    </w:p>
    <w:p w14:paraId="4AFDD74E" w14:textId="77777777" w:rsidR="00D11AFC" w:rsidRDefault="0096076D" w:rsidP="00DA5B8C">
      <w:pPr>
        <w:spacing w:after="0"/>
        <w:ind w:left="-15" w:right="20"/>
      </w:pPr>
      <w:r>
        <w:t>12.4.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14:paraId="0739961E" w14:textId="77777777" w:rsidR="00D11AFC" w:rsidRDefault="0096076D" w:rsidP="00DA5B8C">
      <w:pPr>
        <w:spacing w:after="0"/>
        <w:ind w:left="-15" w:right="20"/>
      </w:pPr>
      <w:r>
        <w:t>12.5.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14:paraId="4740BB04" w14:textId="77777777" w:rsidR="00163963" w:rsidRDefault="00163963">
      <w:pPr>
        <w:spacing w:after="103"/>
        <w:ind w:left="-15" w:right="20"/>
      </w:pPr>
    </w:p>
    <w:p w14:paraId="1953522F" w14:textId="77777777" w:rsidR="006B6117" w:rsidRDefault="00A40DBD" w:rsidP="00A40DBD">
      <w:pPr>
        <w:pStyle w:val="1"/>
      </w:pPr>
      <w:r>
        <w:t>РЕКВИЗИТЫ СТОРОН</w:t>
      </w:r>
    </w:p>
    <w:tbl>
      <w:tblPr>
        <w:tblW w:w="9435" w:type="dxa"/>
        <w:tblCellMar>
          <w:left w:w="30" w:type="dxa"/>
          <w:right w:w="0" w:type="dxa"/>
        </w:tblCellMar>
        <w:tblLook w:val="04A0" w:firstRow="1" w:lastRow="0" w:firstColumn="1" w:lastColumn="0" w:noHBand="0" w:noVBand="1"/>
      </w:tblPr>
      <w:tblGrid>
        <w:gridCol w:w="4269"/>
        <w:gridCol w:w="5166"/>
      </w:tblGrid>
      <w:tr w:rsidR="006B6117" w:rsidRPr="006B6117" w14:paraId="3C526379" w14:textId="77777777" w:rsidTr="006B6117">
        <w:trPr>
          <w:trHeight w:val="405"/>
        </w:trPr>
        <w:tc>
          <w:tcPr>
            <w:tcW w:w="4269" w:type="dxa"/>
            <w:tcBorders>
              <w:top w:val="single" w:sz="6" w:space="0" w:color="000000"/>
              <w:left w:val="single" w:sz="6" w:space="0" w:color="000000"/>
              <w:right w:val="single" w:sz="6" w:space="0" w:color="000000"/>
            </w:tcBorders>
            <w:vAlign w:val="center"/>
            <w:hideMark/>
          </w:tcPr>
          <w:p w14:paraId="2C84A4B9" w14:textId="77777777" w:rsidR="006B6117" w:rsidRPr="006B6117" w:rsidRDefault="006B6117" w:rsidP="006B6117">
            <w:pPr>
              <w:spacing w:after="0" w:line="240" w:lineRule="auto"/>
              <w:ind w:right="0" w:firstLine="0"/>
              <w:jc w:val="left"/>
              <w:rPr>
                <w:b/>
                <w:bCs/>
                <w:color w:val="auto"/>
                <w:szCs w:val="24"/>
              </w:rPr>
            </w:pPr>
            <w:r w:rsidRPr="006B6117">
              <w:rPr>
                <w:b/>
                <w:bCs/>
                <w:color w:val="auto"/>
                <w:szCs w:val="24"/>
              </w:rPr>
              <w:t>ПОСТАВЩИК:</w:t>
            </w:r>
          </w:p>
        </w:tc>
        <w:tc>
          <w:tcPr>
            <w:tcW w:w="5166" w:type="dxa"/>
            <w:tcBorders>
              <w:top w:val="single" w:sz="6" w:space="0" w:color="000000"/>
              <w:left w:val="single" w:sz="6" w:space="0" w:color="000000"/>
              <w:bottom w:val="single" w:sz="6" w:space="0" w:color="000000"/>
              <w:right w:val="single" w:sz="6" w:space="0" w:color="000000"/>
            </w:tcBorders>
            <w:vAlign w:val="center"/>
            <w:hideMark/>
          </w:tcPr>
          <w:p w14:paraId="77B02A44" w14:textId="77777777" w:rsidR="006B6117" w:rsidRPr="006B6117" w:rsidRDefault="006B6117" w:rsidP="006B6117">
            <w:pPr>
              <w:spacing w:after="0" w:line="240" w:lineRule="auto"/>
              <w:ind w:right="0" w:firstLine="0"/>
              <w:jc w:val="left"/>
              <w:rPr>
                <w:b/>
                <w:bCs/>
                <w:color w:val="auto"/>
                <w:szCs w:val="24"/>
              </w:rPr>
            </w:pPr>
            <w:r w:rsidRPr="006B6117">
              <w:rPr>
                <w:b/>
                <w:bCs/>
                <w:color w:val="auto"/>
                <w:szCs w:val="24"/>
              </w:rPr>
              <w:t>ПОКУПАТЕЛЬ:</w:t>
            </w:r>
          </w:p>
        </w:tc>
      </w:tr>
      <w:tr w:rsidR="006B6117" w:rsidRPr="006B6117" w14:paraId="49A49A40" w14:textId="77777777" w:rsidTr="006B6117">
        <w:trPr>
          <w:trHeight w:val="765"/>
        </w:trPr>
        <w:tc>
          <w:tcPr>
            <w:tcW w:w="4269" w:type="dxa"/>
            <w:tcBorders>
              <w:top w:val="single" w:sz="6" w:space="0" w:color="000000"/>
              <w:left w:val="single" w:sz="6" w:space="0" w:color="000000"/>
              <w:right w:val="single" w:sz="6" w:space="0" w:color="000000"/>
            </w:tcBorders>
            <w:hideMark/>
          </w:tcPr>
          <w:p w14:paraId="3FBEDAAB" w14:textId="77777777" w:rsidR="006B6117" w:rsidRPr="006B6117" w:rsidRDefault="006B6117" w:rsidP="006B6117">
            <w:pPr>
              <w:spacing w:after="0" w:line="240" w:lineRule="auto"/>
              <w:ind w:right="0" w:firstLine="0"/>
              <w:jc w:val="left"/>
              <w:rPr>
                <w:b/>
                <w:bCs/>
                <w:color w:val="auto"/>
                <w:szCs w:val="24"/>
              </w:rPr>
            </w:pPr>
          </w:p>
        </w:tc>
        <w:tc>
          <w:tcPr>
            <w:tcW w:w="5166" w:type="dxa"/>
            <w:tcBorders>
              <w:top w:val="single" w:sz="6" w:space="0" w:color="000000"/>
              <w:left w:val="single" w:sz="6" w:space="0" w:color="000000"/>
              <w:right w:val="single" w:sz="6" w:space="0" w:color="000000"/>
            </w:tcBorders>
            <w:hideMark/>
          </w:tcPr>
          <w:p w14:paraId="17D7B76D" w14:textId="77777777" w:rsidR="006B6117" w:rsidRPr="006B6117" w:rsidRDefault="006B6117" w:rsidP="006B6117">
            <w:pPr>
              <w:spacing w:after="0" w:line="240" w:lineRule="auto"/>
              <w:ind w:right="0" w:firstLine="0"/>
              <w:jc w:val="left"/>
              <w:rPr>
                <w:b/>
                <w:bCs/>
                <w:color w:val="auto"/>
                <w:szCs w:val="24"/>
              </w:rPr>
            </w:pPr>
            <w:r w:rsidRPr="006B6117">
              <w:rPr>
                <w:b/>
                <w:bCs/>
                <w:color w:val="auto"/>
                <w:szCs w:val="24"/>
              </w:rPr>
              <w:t>Общество с ограниченной ответственностью "Руссоль"</w:t>
            </w:r>
          </w:p>
        </w:tc>
      </w:tr>
      <w:tr w:rsidR="006B6117" w:rsidRPr="006B6117" w14:paraId="1A108BF9" w14:textId="77777777" w:rsidTr="006B6117">
        <w:trPr>
          <w:trHeight w:val="458"/>
        </w:trPr>
        <w:tc>
          <w:tcPr>
            <w:tcW w:w="4269" w:type="dxa"/>
            <w:vMerge w:val="restart"/>
            <w:tcBorders>
              <w:left w:val="single" w:sz="6" w:space="0" w:color="000000"/>
              <w:right w:val="single" w:sz="6" w:space="0" w:color="000000"/>
            </w:tcBorders>
            <w:hideMark/>
          </w:tcPr>
          <w:p w14:paraId="4ABE784B" w14:textId="77777777" w:rsidR="006B6117" w:rsidRPr="003A1347" w:rsidRDefault="006B6117" w:rsidP="006B6117">
            <w:pPr>
              <w:spacing w:after="0" w:line="240" w:lineRule="auto"/>
              <w:ind w:right="0" w:firstLine="0"/>
              <w:jc w:val="left"/>
              <w:rPr>
                <w:color w:val="auto"/>
                <w:szCs w:val="24"/>
                <w:highlight w:val="yellow"/>
              </w:rPr>
            </w:pPr>
            <w:r w:rsidRPr="006B6117">
              <w:rPr>
                <w:color w:val="auto"/>
                <w:szCs w:val="24"/>
                <w:highlight w:val="yellow"/>
              </w:rPr>
              <w:t xml:space="preserve">ИНН </w:t>
            </w:r>
            <w:r w:rsidRPr="003A1347">
              <w:rPr>
                <w:color w:val="auto"/>
                <w:szCs w:val="24"/>
                <w:highlight w:val="yellow"/>
              </w:rPr>
              <w:t xml:space="preserve">            </w:t>
            </w:r>
            <w:r w:rsidRPr="006B6117">
              <w:rPr>
                <w:color w:val="auto"/>
                <w:szCs w:val="24"/>
                <w:highlight w:val="yellow"/>
              </w:rPr>
              <w:t xml:space="preserve"> КПП </w:t>
            </w:r>
            <w:r w:rsidRPr="006B6117">
              <w:rPr>
                <w:color w:val="auto"/>
                <w:szCs w:val="24"/>
                <w:highlight w:val="yellow"/>
              </w:rPr>
              <w:br/>
              <w:t xml:space="preserve">Юридический адрес </w:t>
            </w:r>
          </w:p>
          <w:p w14:paraId="0819B66F" w14:textId="77777777" w:rsidR="006B6117" w:rsidRPr="003A1347" w:rsidRDefault="006B6117" w:rsidP="006B6117">
            <w:pPr>
              <w:spacing w:after="0" w:line="240" w:lineRule="auto"/>
              <w:ind w:right="0" w:firstLine="0"/>
              <w:jc w:val="left"/>
              <w:rPr>
                <w:color w:val="auto"/>
                <w:szCs w:val="24"/>
                <w:highlight w:val="yellow"/>
              </w:rPr>
            </w:pPr>
            <w:r w:rsidRPr="006B6117">
              <w:rPr>
                <w:color w:val="auto"/>
                <w:szCs w:val="24"/>
                <w:highlight w:val="yellow"/>
              </w:rPr>
              <w:t xml:space="preserve">Р/с </w:t>
            </w:r>
          </w:p>
          <w:p w14:paraId="5D7863FD" w14:textId="77777777" w:rsidR="006B6117" w:rsidRPr="006B6117" w:rsidRDefault="006B6117" w:rsidP="006B6117">
            <w:pPr>
              <w:spacing w:after="0" w:line="240" w:lineRule="auto"/>
              <w:ind w:right="0" w:firstLine="0"/>
              <w:jc w:val="left"/>
              <w:rPr>
                <w:color w:val="auto"/>
                <w:szCs w:val="24"/>
              </w:rPr>
            </w:pPr>
            <w:r w:rsidRPr="006B6117">
              <w:rPr>
                <w:color w:val="auto"/>
                <w:szCs w:val="24"/>
                <w:highlight w:val="yellow"/>
              </w:rPr>
              <w:t>К/с 30101810900000000607</w:t>
            </w:r>
            <w:r w:rsidRPr="006B6117">
              <w:rPr>
                <w:color w:val="auto"/>
                <w:szCs w:val="24"/>
                <w:highlight w:val="yellow"/>
              </w:rPr>
              <w:br/>
              <w:t xml:space="preserve">БИК </w:t>
            </w:r>
            <w:r w:rsidRPr="006B6117">
              <w:rPr>
                <w:color w:val="auto"/>
                <w:szCs w:val="24"/>
                <w:highlight w:val="yellow"/>
              </w:rPr>
              <w:br/>
              <w:t xml:space="preserve">Телефон/Факс </w:t>
            </w:r>
            <w:r w:rsidRPr="006B6117">
              <w:rPr>
                <w:color w:val="auto"/>
                <w:szCs w:val="24"/>
                <w:highlight w:val="yellow"/>
              </w:rPr>
              <w:br/>
              <w:t>E-mail</w:t>
            </w:r>
            <w:r w:rsidRPr="006B6117">
              <w:rPr>
                <w:color w:val="auto"/>
                <w:szCs w:val="24"/>
              </w:rPr>
              <w:t xml:space="preserve"> </w:t>
            </w:r>
          </w:p>
        </w:tc>
        <w:tc>
          <w:tcPr>
            <w:tcW w:w="5166" w:type="dxa"/>
            <w:vMerge w:val="restart"/>
            <w:tcBorders>
              <w:left w:val="single" w:sz="6" w:space="0" w:color="000000"/>
              <w:bottom w:val="single" w:sz="6" w:space="0" w:color="000000"/>
              <w:right w:val="single" w:sz="6" w:space="0" w:color="000000"/>
            </w:tcBorders>
            <w:hideMark/>
          </w:tcPr>
          <w:p w14:paraId="6EA0CC6E" w14:textId="77777777" w:rsidR="00620354" w:rsidRPr="00B07AB9" w:rsidRDefault="006B6117" w:rsidP="00620354">
            <w:pPr>
              <w:spacing w:after="0" w:line="240" w:lineRule="auto"/>
              <w:ind w:right="0" w:firstLine="0"/>
              <w:jc w:val="left"/>
              <w:rPr>
                <w:color w:val="auto"/>
                <w:szCs w:val="24"/>
              </w:rPr>
            </w:pPr>
            <w:r w:rsidRPr="00B07AB9">
              <w:rPr>
                <w:color w:val="auto"/>
                <w:szCs w:val="24"/>
              </w:rPr>
              <w:t>ИНН 5611055980 КПП 997550001</w:t>
            </w:r>
            <w:r w:rsidRPr="00B07AB9">
              <w:rPr>
                <w:color w:val="auto"/>
                <w:szCs w:val="24"/>
              </w:rPr>
              <w:br/>
              <w:t xml:space="preserve">Юридический адрес 460009, Оренбургская обл, </w:t>
            </w:r>
          </w:p>
          <w:p w14:paraId="29CF8AE7" w14:textId="77777777" w:rsidR="006B6117" w:rsidRPr="00B07AB9" w:rsidRDefault="006B6117" w:rsidP="00620354">
            <w:pPr>
              <w:spacing w:after="0" w:line="240" w:lineRule="auto"/>
              <w:ind w:right="0" w:firstLine="0"/>
              <w:jc w:val="left"/>
              <w:rPr>
                <w:color w:val="auto"/>
                <w:szCs w:val="24"/>
              </w:rPr>
            </w:pPr>
            <w:r w:rsidRPr="00B07AB9">
              <w:rPr>
                <w:color w:val="auto"/>
                <w:szCs w:val="24"/>
              </w:rPr>
              <w:t>г. Оренбург, ул</w:t>
            </w:r>
            <w:r w:rsidR="00620354" w:rsidRPr="00B07AB9">
              <w:rPr>
                <w:color w:val="auto"/>
                <w:szCs w:val="24"/>
              </w:rPr>
              <w:t>.</w:t>
            </w:r>
            <w:r w:rsidRPr="00B07AB9">
              <w:rPr>
                <w:color w:val="auto"/>
                <w:szCs w:val="24"/>
              </w:rPr>
              <w:t xml:space="preserve"> Цвиллинга, 61/1</w:t>
            </w:r>
            <w:r w:rsidRPr="00B07AB9">
              <w:rPr>
                <w:color w:val="auto"/>
                <w:szCs w:val="24"/>
              </w:rPr>
              <w:br/>
              <w:t>Р/с 40702810300000046927</w:t>
            </w:r>
            <w:r w:rsidRPr="00B07AB9">
              <w:rPr>
                <w:color w:val="auto"/>
                <w:szCs w:val="24"/>
              </w:rPr>
              <w:br/>
              <w:t>В Банк ГПБ (АО) г. Москва</w:t>
            </w:r>
            <w:r w:rsidRPr="00B07AB9">
              <w:rPr>
                <w:color w:val="auto"/>
                <w:szCs w:val="24"/>
              </w:rPr>
              <w:br/>
              <w:t>К/с 30101810200000000823</w:t>
            </w:r>
            <w:r w:rsidRPr="00B07AB9">
              <w:rPr>
                <w:color w:val="auto"/>
                <w:szCs w:val="24"/>
              </w:rPr>
              <w:br/>
              <w:t>БИК 044525823</w:t>
            </w:r>
            <w:r w:rsidRPr="00B07AB9">
              <w:rPr>
                <w:color w:val="auto"/>
                <w:szCs w:val="24"/>
              </w:rPr>
              <w:br/>
              <w:t>Телефон/Факс +7(3532) 34-23-65</w:t>
            </w:r>
            <w:r w:rsidRPr="00B07AB9">
              <w:rPr>
                <w:color w:val="auto"/>
                <w:szCs w:val="24"/>
              </w:rPr>
              <w:br/>
              <w:t xml:space="preserve">E-mail </w:t>
            </w:r>
            <w:r w:rsidR="00620354" w:rsidRPr="00B07AB9">
              <w:rPr>
                <w:color w:val="auto"/>
                <w:szCs w:val="24"/>
                <w:lang w:val="en-US"/>
              </w:rPr>
              <w:t>agee</w:t>
            </w:r>
            <w:r w:rsidRPr="00B07AB9">
              <w:rPr>
                <w:color w:val="auto"/>
                <w:szCs w:val="24"/>
              </w:rPr>
              <w:t>va@russalt.ru, info@russalt.ru</w:t>
            </w:r>
          </w:p>
        </w:tc>
      </w:tr>
      <w:tr w:rsidR="006B6117" w:rsidRPr="006B6117" w14:paraId="44AC2715" w14:textId="77777777" w:rsidTr="006B6117">
        <w:trPr>
          <w:trHeight w:val="458"/>
        </w:trPr>
        <w:tc>
          <w:tcPr>
            <w:tcW w:w="4269" w:type="dxa"/>
            <w:vMerge/>
            <w:tcBorders>
              <w:left w:val="single" w:sz="6" w:space="0" w:color="000000"/>
              <w:right w:val="single" w:sz="6" w:space="0" w:color="000000"/>
            </w:tcBorders>
            <w:vAlign w:val="center"/>
            <w:hideMark/>
          </w:tcPr>
          <w:p w14:paraId="07D690F3" w14:textId="77777777" w:rsidR="006B6117" w:rsidRPr="006B6117" w:rsidRDefault="006B6117" w:rsidP="006B6117">
            <w:pPr>
              <w:spacing w:after="0" w:line="240" w:lineRule="auto"/>
              <w:ind w:right="0" w:firstLine="0"/>
              <w:jc w:val="left"/>
              <w:rPr>
                <w:color w:val="auto"/>
                <w:szCs w:val="24"/>
              </w:rPr>
            </w:pPr>
          </w:p>
        </w:tc>
        <w:tc>
          <w:tcPr>
            <w:tcW w:w="5166" w:type="dxa"/>
            <w:vMerge/>
            <w:tcBorders>
              <w:left w:val="single" w:sz="6" w:space="0" w:color="000000"/>
              <w:bottom w:val="single" w:sz="6" w:space="0" w:color="000000"/>
              <w:right w:val="single" w:sz="6" w:space="0" w:color="000000"/>
            </w:tcBorders>
            <w:vAlign w:val="center"/>
            <w:hideMark/>
          </w:tcPr>
          <w:p w14:paraId="4D836450" w14:textId="77777777" w:rsidR="006B6117" w:rsidRPr="00B07AB9" w:rsidRDefault="006B6117" w:rsidP="006B6117">
            <w:pPr>
              <w:spacing w:after="0" w:line="240" w:lineRule="auto"/>
              <w:ind w:right="0" w:firstLine="0"/>
              <w:jc w:val="left"/>
              <w:rPr>
                <w:color w:val="auto"/>
                <w:szCs w:val="24"/>
              </w:rPr>
            </w:pPr>
          </w:p>
        </w:tc>
      </w:tr>
      <w:tr w:rsidR="006B6117" w:rsidRPr="006B6117" w14:paraId="373F8FC6" w14:textId="77777777" w:rsidTr="006B6117">
        <w:trPr>
          <w:trHeight w:val="458"/>
        </w:trPr>
        <w:tc>
          <w:tcPr>
            <w:tcW w:w="4269" w:type="dxa"/>
            <w:vMerge/>
            <w:tcBorders>
              <w:left w:val="single" w:sz="6" w:space="0" w:color="000000"/>
              <w:right w:val="single" w:sz="6" w:space="0" w:color="000000"/>
            </w:tcBorders>
            <w:vAlign w:val="center"/>
            <w:hideMark/>
          </w:tcPr>
          <w:p w14:paraId="1B641830" w14:textId="77777777" w:rsidR="006B6117" w:rsidRPr="006B6117" w:rsidRDefault="006B6117" w:rsidP="006B6117">
            <w:pPr>
              <w:spacing w:after="0" w:line="240" w:lineRule="auto"/>
              <w:ind w:right="0" w:firstLine="0"/>
              <w:jc w:val="left"/>
              <w:rPr>
                <w:color w:val="auto"/>
                <w:szCs w:val="24"/>
              </w:rPr>
            </w:pPr>
          </w:p>
        </w:tc>
        <w:tc>
          <w:tcPr>
            <w:tcW w:w="5166" w:type="dxa"/>
            <w:vMerge/>
            <w:tcBorders>
              <w:left w:val="single" w:sz="6" w:space="0" w:color="000000"/>
              <w:bottom w:val="single" w:sz="6" w:space="0" w:color="000000"/>
              <w:right w:val="single" w:sz="6" w:space="0" w:color="000000"/>
            </w:tcBorders>
            <w:vAlign w:val="center"/>
            <w:hideMark/>
          </w:tcPr>
          <w:p w14:paraId="6A00AED2" w14:textId="77777777" w:rsidR="006B6117" w:rsidRPr="00B07AB9" w:rsidRDefault="006B6117" w:rsidP="006B6117">
            <w:pPr>
              <w:spacing w:after="0" w:line="240" w:lineRule="auto"/>
              <w:ind w:right="0" w:firstLine="0"/>
              <w:jc w:val="left"/>
              <w:rPr>
                <w:color w:val="auto"/>
                <w:szCs w:val="24"/>
              </w:rPr>
            </w:pPr>
          </w:p>
        </w:tc>
      </w:tr>
      <w:tr w:rsidR="006B6117" w:rsidRPr="006B6117" w14:paraId="1C5FA0EE" w14:textId="77777777" w:rsidTr="006B6117">
        <w:trPr>
          <w:trHeight w:val="458"/>
        </w:trPr>
        <w:tc>
          <w:tcPr>
            <w:tcW w:w="4269" w:type="dxa"/>
            <w:vMerge/>
            <w:tcBorders>
              <w:left w:val="single" w:sz="6" w:space="0" w:color="000000"/>
              <w:right w:val="single" w:sz="6" w:space="0" w:color="000000"/>
            </w:tcBorders>
            <w:vAlign w:val="center"/>
            <w:hideMark/>
          </w:tcPr>
          <w:p w14:paraId="1C7B5E79" w14:textId="77777777" w:rsidR="006B6117" w:rsidRPr="006B6117" w:rsidRDefault="006B6117" w:rsidP="006B6117">
            <w:pPr>
              <w:spacing w:after="0" w:line="240" w:lineRule="auto"/>
              <w:ind w:right="0" w:firstLine="0"/>
              <w:jc w:val="left"/>
              <w:rPr>
                <w:color w:val="auto"/>
                <w:szCs w:val="24"/>
              </w:rPr>
            </w:pPr>
          </w:p>
        </w:tc>
        <w:tc>
          <w:tcPr>
            <w:tcW w:w="5166" w:type="dxa"/>
            <w:vMerge/>
            <w:tcBorders>
              <w:left w:val="single" w:sz="6" w:space="0" w:color="000000"/>
              <w:bottom w:val="single" w:sz="6" w:space="0" w:color="000000"/>
              <w:right w:val="single" w:sz="6" w:space="0" w:color="000000"/>
            </w:tcBorders>
            <w:vAlign w:val="center"/>
            <w:hideMark/>
          </w:tcPr>
          <w:p w14:paraId="43E3FCA2" w14:textId="77777777" w:rsidR="006B6117" w:rsidRPr="00B07AB9" w:rsidRDefault="006B6117" w:rsidP="006B6117">
            <w:pPr>
              <w:spacing w:after="0" w:line="240" w:lineRule="auto"/>
              <w:ind w:right="0" w:firstLine="0"/>
              <w:jc w:val="left"/>
              <w:rPr>
                <w:color w:val="auto"/>
                <w:szCs w:val="24"/>
              </w:rPr>
            </w:pPr>
          </w:p>
        </w:tc>
      </w:tr>
      <w:tr w:rsidR="006B6117" w:rsidRPr="006B6117" w14:paraId="3F0BB339" w14:textId="77777777" w:rsidTr="006B6117">
        <w:trPr>
          <w:trHeight w:val="458"/>
        </w:trPr>
        <w:tc>
          <w:tcPr>
            <w:tcW w:w="4269" w:type="dxa"/>
            <w:vMerge/>
            <w:tcBorders>
              <w:left w:val="single" w:sz="6" w:space="0" w:color="000000"/>
              <w:right w:val="single" w:sz="6" w:space="0" w:color="000000"/>
            </w:tcBorders>
            <w:vAlign w:val="center"/>
            <w:hideMark/>
          </w:tcPr>
          <w:p w14:paraId="1BAD8848" w14:textId="77777777" w:rsidR="006B6117" w:rsidRPr="006B6117" w:rsidRDefault="006B6117" w:rsidP="006B6117">
            <w:pPr>
              <w:spacing w:after="0" w:line="240" w:lineRule="auto"/>
              <w:ind w:right="0" w:firstLine="0"/>
              <w:jc w:val="left"/>
              <w:rPr>
                <w:color w:val="auto"/>
                <w:szCs w:val="24"/>
              </w:rPr>
            </w:pPr>
          </w:p>
        </w:tc>
        <w:tc>
          <w:tcPr>
            <w:tcW w:w="5166" w:type="dxa"/>
            <w:vMerge/>
            <w:tcBorders>
              <w:left w:val="single" w:sz="6" w:space="0" w:color="000000"/>
              <w:bottom w:val="single" w:sz="6" w:space="0" w:color="000000"/>
              <w:right w:val="single" w:sz="6" w:space="0" w:color="000000"/>
            </w:tcBorders>
            <w:vAlign w:val="center"/>
            <w:hideMark/>
          </w:tcPr>
          <w:p w14:paraId="6B51E003" w14:textId="77777777" w:rsidR="006B6117" w:rsidRPr="00B07AB9" w:rsidRDefault="006B6117" w:rsidP="006B6117">
            <w:pPr>
              <w:spacing w:after="0" w:line="240" w:lineRule="auto"/>
              <w:ind w:right="0" w:firstLine="0"/>
              <w:jc w:val="left"/>
              <w:rPr>
                <w:color w:val="auto"/>
                <w:szCs w:val="24"/>
              </w:rPr>
            </w:pPr>
          </w:p>
        </w:tc>
      </w:tr>
      <w:tr w:rsidR="006B6117" w:rsidRPr="006B6117" w14:paraId="63FC472B" w14:textId="77777777" w:rsidTr="006B6117">
        <w:trPr>
          <w:trHeight w:val="458"/>
        </w:trPr>
        <w:tc>
          <w:tcPr>
            <w:tcW w:w="4269" w:type="dxa"/>
            <w:vMerge/>
            <w:tcBorders>
              <w:left w:val="single" w:sz="6" w:space="0" w:color="000000"/>
              <w:right w:val="single" w:sz="6" w:space="0" w:color="000000"/>
            </w:tcBorders>
            <w:vAlign w:val="center"/>
            <w:hideMark/>
          </w:tcPr>
          <w:p w14:paraId="3EE76D58" w14:textId="77777777" w:rsidR="006B6117" w:rsidRPr="006B6117" w:rsidRDefault="006B6117" w:rsidP="006B6117">
            <w:pPr>
              <w:spacing w:after="0" w:line="240" w:lineRule="auto"/>
              <w:ind w:right="0" w:firstLine="0"/>
              <w:jc w:val="left"/>
              <w:rPr>
                <w:color w:val="auto"/>
                <w:szCs w:val="24"/>
              </w:rPr>
            </w:pPr>
          </w:p>
        </w:tc>
        <w:tc>
          <w:tcPr>
            <w:tcW w:w="5166" w:type="dxa"/>
            <w:vMerge/>
            <w:tcBorders>
              <w:left w:val="single" w:sz="6" w:space="0" w:color="000000"/>
              <w:bottom w:val="single" w:sz="6" w:space="0" w:color="000000"/>
              <w:right w:val="single" w:sz="6" w:space="0" w:color="000000"/>
            </w:tcBorders>
            <w:vAlign w:val="center"/>
            <w:hideMark/>
          </w:tcPr>
          <w:p w14:paraId="4F5AA86D" w14:textId="77777777" w:rsidR="006B6117" w:rsidRPr="00B07AB9" w:rsidRDefault="006B6117" w:rsidP="006B6117">
            <w:pPr>
              <w:spacing w:after="0" w:line="240" w:lineRule="auto"/>
              <w:ind w:right="0" w:firstLine="0"/>
              <w:jc w:val="left"/>
              <w:rPr>
                <w:color w:val="auto"/>
                <w:szCs w:val="24"/>
              </w:rPr>
            </w:pPr>
          </w:p>
        </w:tc>
      </w:tr>
      <w:tr w:rsidR="006B6117" w:rsidRPr="006B6117" w14:paraId="7B539B5E" w14:textId="77777777" w:rsidTr="006B6117">
        <w:trPr>
          <w:trHeight w:val="458"/>
        </w:trPr>
        <w:tc>
          <w:tcPr>
            <w:tcW w:w="4269" w:type="dxa"/>
            <w:vMerge/>
            <w:tcBorders>
              <w:left w:val="single" w:sz="6" w:space="0" w:color="000000"/>
              <w:right w:val="single" w:sz="6" w:space="0" w:color="000000"/>
            </w:tcBorders>
            <w:vAlign w:val="center"/>
            <w:hideMark/>
          </w:tcPr>
          <w:p w14:paraId="60433A33" w14:textId="77777777" w:rsidR="006B6117" w:rsidRPr="006B6117" w:rsidRDefault="006B6117" w:rsidP="006B6117">
            <w:pPr>
              <w:spacing w:after="0" w:line="240" w:lineRule="auto"/>
              <w:ind w:right="0" w:firstLine="0"/>
              <w:jc w:val="left"/>
              <w:rPr>
                <w:color w:val="auto"/>
                <w:szCs w:val="24"/>
              </w:rPr>
            </w:pPr>
          </w:p>
        </w:tc>
        <w:tc>
          <w:tcPr>
            <w:tcW w:w="5166" w:type="dxa"/>
            <w:vMerge/>
            <w:tcBorders>
              <w:left w:val="single" w:sz="6" w:space="0" w:color="000000"/>
              <w:bottom w:val="single" w:sz="6" w:space="0" w:color="000000"/>
              <w:right w:val="single" w:sz="6" w:space="0" w:color="000000"/>
            </w:tcBorders>
            <w:vAlign w:val="center"/>
            <w:hideMark/>
          </w:tcPr>
          <w:p w14:paraId="0E1CA0DB" w14:textId="77777777" w:rsidR="006B6117" w:rsidRPr="00B07AB9" w:rsidRDefault="006B6117" w:rsidP="006B6117">
            <w:pPr>
              <w:spacing w:after="0" w:line="240" w:lineRule="auto"/>
              <w:ind w:right="0" w:firstLine="0"/>
              <w:jc w:val="left"/>
              <w:rPr>
                <w:color w:val="auto"/>
                <w:szCs w:val="24"/>
              </w:rPr>
            </w:pPr>
          </w:p>
        </w:tc>
      </w:tr>
      <w:tr w:rsidR="006B6117" w:rsidRPr="006B6117" w14:paraId="60B7F27D" w14:textId="77777777" w:rsidTr="006B6117">
        <w:trPr>
          <w:trHeight w:val="458"/>
        </w:trPr>
        <w:tc>
          <w:tcPr>
            <w:tcW w:w="4269" w:type="dxa"/>
            <w:vMerge/>
            <w:tcBorders>
              <w:left w:val="single" w:sz="6" w:space="0" w:color="000000"/>
              <w:right w:val="single" w:sz="6" w:space="0" w:color="000000"/>
            </w:tcBorders>
            <w:vAlign w:val="center"/>
            <w:hideMark/>
          </w:tcPr>
          <w:p w14:paraId="517C4CA0" w14:textId="77777777" w:rsidR="006B6117" w:rsidRPr="006B6117" w:rsidRDefault="006B6117" w:rsidP="006B6117">
            <w:pPr>
              <w:spacing w:after="0" w:line="240" w:lineRule="auto"/>
              <w:ind w:right="0" w:firstLine="0"/>
              <w:jc w:val="left"/>
              <w:rPr>
                <w:color w:val="auto"/>
                <w:szCs w:val="24"/>
              </w:rPr>
            </w:pPr>
          </w:p>
        </w:tc>
        <w:tc>
          <w:tcPr>
            <w:tcW w:w="5166" w:type="dxa"/>
            <w:vMerge/>
            <w:tcBorders>
              <w:left w:val="single" w:sz="6" w:space="0" w:color="000000"/>
              <w:bottom w:val="single" w:sz="6" w:space="0" w:color="000000"/>
              <w:right w:val="single" w:sz="6" w:space="0" w:color="000000"/>
            </w:tcBorders>
            <w:vAlign w:val="center"/>
            <w:hideMark/>
          </w:tcPr>
          <w:p w14:paraId="28946A1F" w14:textId="77777777" w:rsidR="006B6117" w:rsidRPr="00B07AB9" w:rsidRDefault="006B6117" w:rsidP="006B6117">
            <w:pPr>
              <w:spacing w:after="0" w:line="240" w:lineRule="auto"/>
              <w:ind w:right="0" w:firstLine="0"/>
              <w:jc w:val="left"/>
              <w:rPr>
                <w:color w:val="auto"/>
                <w:szCs w:val="24"/>
              </w:rPr>
            </w:pPr>
          </w:p>
        </w:tc>
      </w:tr>
      <w:tr w:rsidR="006B6117" w:rsidRPr="006B6117" w14:paraId="4437B0D3" w14:textId="77777777" w:rsidTr="006B6117">
        <w:trPr>
          <w:trHeight w:val="405"/>
        </w:trPr>
        <w:tc>
          <w:tcPr>
            <w:tcW w:w="4269" w:type="dxa"/>
            <w:tcBorders>
              <w:top w:val="single" w:sz="6" w:space="0" w:color="000000"/>
              <w:left w:val="single" w:sz="6" w:space="0" w:color="000000"/>
              <w:bottom w:val="single" w:sz="4" w:space="0" w:color="auto"/>
              <w:right w:val="single" w:sz="6" w:space="0" w:color="000000"/>
            </w:tcBorders>
            <w:vAlign w:val="center"/>
            <w:hideMark/>
          </w:tcPr>
          <w:p w14:paraId="0BDE8D57" w14:textId="77777777" w:rsidR="006B6117" w:rsidRDefault="006B6117" w:rsidP="006B6117">
            <w:pPr>
              <w:spacing w:after="0" w:line="240" w:lineRule="auto"/>
              <w:ind w:right="0" w:firstLine="0"/>
              <w:jc w:val="left"/>
              <w:rPr>
                <w:b/>
                <w:bCs/>
                <w:color w:val="auto"/>
                <w:szCs w:val="24"/>
              </w:rPr>
            </w:pPr>
          </w:p>
          <w:p w14:paraId="73E0F39B" w14:textId="77777777" w:rsidR="006B6117" w:rsidRPr="00620354" w:rsidRDefault="006B6117" w:rsidP="006B6117">
            <w:pPr>
              <w:spacing w:after="0" w:line="240" w:lineRule="auto"/>
              <w:ind w:right="0" w:firstLine="0"/>
              <w:jc w:val="left"/>
              <w:rPr>
                <w:b/>
                <w:bCs/>
                <w:color w:val="auto"/>
                <w:szCs w:val="24"/>
              </w:rPr>
            </w:pPr>
            <w:r>
              <w:rPr>
                <w:b/>
                <w:bCs/>
                <w:color w:val="auto"/>
                <w:szCs w:val="24"/>
              </w:rPr>
              <w:t>Генеральный директор</w:t>
            </w:r>
          </w:p>
          <w:p w14:paraId="17EE7992" w14:textId="77777777" w:rsidR="006B6117" w:rsidRDefault="006B6117" w:rsidP="006B6117">
            <w:pPr>
              <w:spacing w:after="0" w:line="240" w:lineRule="auto"/>
              <w:ind w:right="0" w:firstLine="0"/>
              <w:jc w:val="left"/>
              <w:rPr>
                <w:b/>
                <w:bCs/>
                <w:color w:val="auto"/>
                <w:szCs w:val="24"/>
              </w:rPr>
            </w:pPr>
          </w:p>
          <w:p w14:paraId="32BA9E0C" w14:textId="77777777" w:rsidR="006B6117" w:rsidRDefault="006B6117" w:rsidP="006B6117">
            <w:pPr>
              <w:spacing w:after="0" w:line="240" w:lineRule="auto"/>
              <w:ind w:right="0" w:firstLine="0"/>
              <w:jc w:val="left"/>
              <w:rPr>
                <w:b/>
                <w:bCs/>
                <w:color w:val="auto"/>
                <w:szCs w:val="24"/>
              </w:rPr>
            </w:pPr>
          </w:p>
          <w:p w14:paraId="3C4DFB31" w14:textId="77777777" w:rsidR="006B6117" w:rsidRPr="006B6117" w:rsidRDefault="006B6117" w:rsidP="006B6117">
            <w:pPr>
              <w:spacing w:after="0" w:line="240" w:lineRule="auto"/>
              <w:ind w:right="0" w:firstLine="0"/>
              <w:jc w:val="left"/>
              <w:rPr>
                <w:b/>
                <w:bCs/>
                <w:color w:val="auto"/>
                <w:szCs w:val="24"/>
              </w:rPr>
            </w:pPr>
            <w:r w:rsidRPr="00620354">
              <w:rPr>
                <w:b/>
                <w:bCs/>
                <w:color w:val="auto"/>
                <w:szCs w:val="24"/>
              </w:rPr>
              <w:t>________________/</w:t>
            </w:r>
            <w:r w:rsidRPr="003A1347">
              <w:rPr>
                <w:b/>
                <w:bCs/>
                <w:color w:val="auto"/>
                <w:szCs w:val="24"/>
                <w:highlight w:val="yellow"/>
              </w:rPr>
              <w:t>______________</w:t>
            </w:r>
            <w:r>
              <w:rPr>
                <w:b/>
                <w:bCs/>
                <w:color w:val="auto"/>
                <w:szCs w:val="24"/>
              </w:rPr>
              <w:t>/</w:t>
            </w:r>
          </w:p>
          <w:p w14:paraId="16AA4F8F" w14:textId="77777777" w:rsidR="006B6117" w:rsidRPr="00620354" w:rsidRDefault="006B6117" w:rsidP="006B6117">
            <w:pPr>
              <w:spacing w:after="0" w:line="240" w:lineRule="auto"/>
              <w:ind w:right="0" w:firstLine="0"/>
              <w:jc w:val="left"/>
              <w:rPr>
                <w:b/>
                <w:bCs/>
                <w:color w:val="auto"/>
                <w:szCs w:val="24"/>
              </w:rPr>
            </w:pPr>
          </w:p>
          <w:p w14:paraId="1EBAE2BD" w14:textId="77777777" w:rsidR="006B6117" w:rsidRPr="00620354" w:rsidRDefault="006B6117" w:rsidP="006B6117">
            <w:pPr>
              <w:spacing w:after="0" w:line="240" w:lineRule="auto"/>
              <w:ind w:right="0" w:firstLine="0"/>
              <w:jc w:val="left"/>
              <w:rPr>
                <w:b/>
                <w:bCs/>
                <w:color w:val="auto"/>
                <w:szCs w:val="24"/>
              </w:rPr>
            </w:pPr>
          </w:p>
        </w:tc>
        <w:tc>
          <w:tcPr>
            <w:tcW w:w="5166" w:type="dxa"/>
            <w:tcBorders>
              <w:top w:val="single" w:sz="6" w:space="0" w:color="000000"/>
              <w:left w:val="single" w:sz="6" w:space="0" w:color="000000"/>
              <w:bottom w:val="single" w:sz="4" w:space="0" w:color="auto"/>
              <w:right w:val="single" w:sz="6" w:space="0" w:color="000000"/>
            </w:tcBorders>
            <w:vAlign w:val="center"/>
            <w:hideMark/>
          </w:tcPr>
          <w:p w14:paraId="02993293" w14:textId="77777777" w:rsidR="006B6117" w:rsidRPr="00B07AB9" w:rsidRDefault="006B6117" w:rsidP="006B6117">
            <w:pPr>
              <w:spacing w:after="0" w:line="240" w:lineRule="auto"/>
              <w:ind w:right="0" w:firstLine="0"/>
              <w:jc w:val="left"/>
              <w:rPr>
                <w:b/>
                <w:bCs/>
                <w:color w:val="auto"/>
                <w:szCs w:val="24"/>
              </w:rPr>
            </w:pPr>
            <w:r w:rsidRPr="00B07AB9">
              <w:rPr>
                <w:b/>
                <w:bCs/>
                <w:color w:val="auto"/>
                <w:szCs w:val="24"/>
              </w:rPr>
              <w:t>Директор</w:t>
            </w:r>
          </w:p>
          <w:p w14:paraId="4A35D092" w14:textId="77777777" w:rsidR="006B6117" w:rsidRPr="00B07AB9" w:rsidRDefault="006B6117" w:rsidP="006B6117">
            <w:pPr>
              <w:spacing w:after="0" w:line="240" w:lineRule="auto"/>
              <w:ind w:right="0" w:firstLine="0"/>
              <w:jc w:val="left"/>
              <w:rPr>
                <w:b/>
                <w:bCs/>
                <w:color w:val="auto"/>
                <w:szCs w:val="24"/>
              </w:rPr>
            </w:pPr>
          </w:p>
          <w:p w14:paraId="0D8F6077" w14:textId="77777777" w:rsidR="006B6117" w:rsidRPr="00B07AB9" w:rsidRDefault="006B6117" w:rsidP="006B6117">
            <w:pPr>
              <w:spacing w:after="0" w:line="240" w:lineRule="auto"/>
              <w:ind w:right="0" w:firstLine="0"/>
              <w:jc w:val="left"/>
              <w:rPr>
                <w:b/>
                <w:bCs/>
                <w:color w:val="auto"/>
                <w:szCs w:val="24"/>
              </w:rPr>
            </w:pPr>
          </w:p>
          <w:p w14:paraId="50745D2B" w14:textId="77777777" w:rsidR="006B6117" w:rsidRPr="00B07AB9" w:rsidRDefault="006B6117" w:rsidP="006B6117">
            <w:pPr>
              <w:spacing w:after="0" w:line="240" w:lineRule="auto"/>
              <w:ind w:right="0" w:firstLine="0"/>
              <w:jc w:val="left"/>
              <w:rPr>
                <w:b/>
                <w:bCs/>
                <w:color w:val="auto"/>
                <w:szCs w:val="24"/>
              </w:rPr>
            </w:pPr>
            <w:r w:rsidRPr="00B07AB9">
              <w:rPr>
                <w:b/>
                <w:bCs/>
                <w:color w:val="auto"/>
                <w:szCs w:val="24"/>
              </w:rPr>
              <w:t>________________/С.В. Черный/</w:t>
            </w:r>
          </w:p>
          <w:p w14:paraId="1B270D58" w14:textId="77777777" w:rsidR="006B6117" w:rsidRPr="00B07AB9" w:rsidRDefault="006B6117" w:rsidP="006B6117">
            <w:pPr>
              <w:spacing w:after="0" w:line="240" w:lineRule="auto"/>
              <w:ind w:right="0" w:firstLine="0"/>
              <w:jc w:val="left"/>
              <w:rPr>
                <w:b/>
                <w:bCs/>
                <w:color w:val="auto"/>
                <w:szCs w:val="24"/>
              </w:rPr>
            </w:pPr>
          </w:p>
        </w:tc>
      </w:tr>
    </w:tbl>
    <w:p w14:paraId="27876FE9" w14:textId="77777777" w:rsidR="00DF2D17" w:rsidRPr="006B6117" w:rsidRDefault="00DF2D17" w:rsidP="006B6117">
      <w:pPr>
        <w:tabs>
          <w:tab w:val="left" w:pos="2895"/>
        </w:tabs>
      </w:pPr>
    </w:p>
    <w:sectPr w:rsidR="00DF2D17" w:rsidRPr="006B6117" w:rsidSect="001A4EDC">
      <w:footerReference w:type="even" r:id="rId8"/>
      <w:footerReference w:type="default" r:id="rId9"/>
      <w:footerReference w:type="first" r:id="rId10"/>
      <w:pgSz w:w="11906" w:h="16838"/>
      <w:pgMar w:top="1134" w:right="851" w:bottom="1134" w:left="1418" w:header="720" w:footer="3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7880A" w14:textId="77777777" w:rsidR="00CB0817" w:rsidRDefault="00CB0817">
      <w:pPr>
        <w:spacing w:after="0" w:line="240" w:lineRule="auto"/>
      </w:pPr>
      <w:r>
        <w:separator/>
      </w:r>
    </w:p>
  </w:endnote>
  <w:endnote w:type="continuationSeparator" w:id="0">
    <w:p w14:paraId="69DEFDE4" w14:textId="77777777" w:rsidR="00CB0817" w:rsidRDefault="00CB0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13D44" w14:textId="77777777" w:rsidR="006F6C71" w:rsidRDefault="006F6C71">
    <w:pPr>
      <w:spacing w:after="0" w:line="259" w:lineRule="auto"/>
      <w:ind w:right="-283" w:firstLine="0"/>
      <w:jc w:val="right"/>
    </w:pPr>
    <w:r>
      <w:rPr>
        <w:rFonts w:ascii="Arial" w:eastAsia="Arial" w:hAnsi="Arial" w:cs="Arial"/>
        <w:color w:val="333059"/>
        <w:sz w:val="16"/>
      </w:rPr>
      <w:t xml:space="preserve">Страница </w:t>
    </w:r>
    <w:r w:rsidR="00FA66BF">
      <w:fldChar w:fldCharType="begin"/>
    </w:r>
    <w:r>
      <w:instrText xml:space="preserve"> PAGE   \* MERGEFORMAT </w:instrText>
    </w:r>
    <w:r w:rsidR="00FA66BF">
      <w:fldChar w:fldCharType="separate"/>
    </w:r>
    <w:r>
      <w:rPr>
        <w:rFonts w:ascii="Arial" w:eastAsia="Arial" w:hAnsi="Arial" w:cs="Arial"/>
        <w:color w:val="333059"/>
        <w:sz w:val="16"/>
      </w:rPr>
      <w:t>1</w:t>
    </w:r>
    <w:r w:rsidR="00FA66BF">
      <w:rPr>
        <w:rFonts w:ascii="Arial" w:eastAsia="Arial" w:hAnsi="Arial" w:cs="Arial"/>
        <w:color w:val="333059"/>
        <w:sz w:val="16"/>
      </w:rPr>
      <w:fldChar w:fldCharType="end"/>
    </w:r>
    <w:r>
      <w:rPr>
        <w:rFonts w:ascii="Arial" w:eastAsia="Arial" w:hAnsi="Arial" w:cs="Arial"/>
        <w:color w:val="333059"/>
        <w:sz w:val="16"/>
      </w:rPr>
      <w:t xml:space="preserve"> из </w:t>
    </w:r>
    <w:r w:rsidR="00CB0817">
      <w:fldChar w:fldCharType="begin"/>
    </w:r>
    <w:r w:rsidR="00CB0817">
      <w:instrText xml:space="preserve"> NUMPAGES   \* MERGEFORMAT </w:instrText>
    </w:r>
    <w:r w:rsidR="00CB0817">
      <w:fldChar w:fldCharType="separate"/>
    </w:r>
    <w:r w:rsidR="00DC46D2" w:rsidRPr="00DC46D2">
      <w:rPr>
        <w:rFonts w:ascii="Arial" w:eastAsia="Arial" w:hAnsi="Arial" w:cs="Arial"/>
        <w:noProof/>
        <w:color w:val="333059"/>
        <w:sz w:val="16"/>
      </w:rPr>
      <w:t>7</w:t>
    </w:r>
    <w:r w:rsidR="00CB0817">
      <w:rPr>
        <w:rFonts w:ascii="Arial" w:eastAsia="Arial" w:hAnsi="Arial" w:cs="Arial"/>
        <w:noProof/>
        <w:color w:val="333059"/>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199F9" w14:textId="77777777" w:rsidR="006F6C71" w:rsidRDefault="006F6C71">
    <w:pPr>
      <w:spacing w:after="0" w:line="259" w:lineRule="auto"/>
      <w:ind w:right="-283" w:firstLine="0"/>
      <w:jc w:val="right"/>
    </w:pPr>
    <w:r>
      <w:rPr>
        <w:rFonts w:ascii="Arial" w:eastAsia="Arial" w:hAnsi="Arial" w:cs="Arial"/>
        <w:color w:val="333059"/>
        <w:sz w:val="16"/>
      </w:rPr>
      <w:t xml:space="preserve">Страница </w:t>
    </w:r>
    <w:r w:rsidR="00FA66BF">
      <w:fldChar w:fldCharType="begin"/>
    </w:r>
    <w:r>
      <w:instrText xml:space="preserve"> PAGE   \* MERGEFORMAT </w:instrText>
    </w:r>
    <w:r w:rsidR="00FA66BF">
      <w:fldChar w:fldCharType="separate"/>
    </w:r>
    <w:r w:rsidR="00006DAE" w:rsidRPr="00006DAE">
      <w:rPr>
        <w:rFonts w:ascii="Arial" w:eastAsia="Arial" w:hAnsi="Arial" w:cs="Arial"/>
        <w:noProof/>
        <w:color w:val="333059"/>
        <w:sz w:val="16"/>
      </w:rPr>
      <w:t>1</w:t>
    </w:r>
    <w:r w:rsidR="00FA66BF">
      <w:rPr>
        <w:rFonts w:ascii="Arial" w:eastAsia="Arial" w:hAnsi="Arial" w:cs="Arial"/>
        <w:color w:val="333059"/>
        <w:sz w:val="16"/>
      </w:rPr>
      <w:fldChar w:fldCharType="end"/>
    </w:r>
    <w:r>
      <w:rPr>
        <w:rFonts w:ascii="Arial" w:eastAsia="Arial" w:hAnsi="Arial" w:cs="Arial"/>
        <w:color w:val="333059"/>
        <w:sz w:val="16"/>
      </w:rPr>
      <w:t xml:space="preserve"> из </w:t>
    </w:r>
    <w:r w:rsidR="00CB0817">
      <w:fldChar w:fldCharType="begin"/>
    </w:r>
    <w:r w:rsidR="00CB0817">
      <w:instrText xml:space="preserve"> NUMPAGES   \* MERGEFORMAT </w:instrText>
    </w:r>
    <w:r w:rsidR="00CB0817">
      <w:fldChar w:fldCharType="separate"/>
    </w:r>
    <w:r w:rsidR="00006DAE" w:rsidRPr="00006DAE">
      <w:rPr>
        <w:rFonts w:ascii="Arial" w:eastAsia="Arial" w:hAnsi="Arial" w:cs="Arial"/>
        <w:noProof/>
        <w:color w:val="333059"/>
        <w:sz w:val="16"/>
      </w:rPr>
      <w:t>7</w:t>
    </w:r>
    <w:r w:rsidR="00CB0817">
      <w:rPr>
        <w:rFonts w:ascii="Arial" w:eastAsia="Arial" w:hAnsi="Arial" w:cs="Arial"/>
        <w:noProof/>
        <w:color w:val="333059"/>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8D13D" w14:textId="77777777" w:rsidR="006F6C71" w:rsidRDefault="006F6C71">
    <w:pPr>
      <w:spacing w:after="0" w:line="259" w:lineRule="auto"/>
      <w:ind w:right="-283" w:firstLine="0"/>
      <w:jc w:val="right"/>
    </w:pPr>
    <w:r>
      <w:rPr>
        <w:rFonts w:ascii="Arial" w:eastAsia="Arial" w:hAnsi="Arial" w:cs="Arial"/>
        <w:color w:val="333059"/>
        <w:sz w:val="16"/>
      </w:rPr>
      <w:t xml:space="preserve">Страница </w:t>
    </w:r>
    <w:r w:rsidR="00FA66BF">
      <w:fldChar w:fldCharType="begin"/>
    </w:r>
    <w:r>
      <w:instrText xml:space="preserve"> PAGE   \* MERGEFORMAT </w:instrText>
    </w:r>
    <w:r w:rsidR="00FA66BF">
      <w:fldChar w:fldCharType="separate"/>
    </w:r>
    <w:r>
      <w:rPr>
        <w:rFonts w:ascii="Arial" w:eastAsia="Arial" w:hAnsi="Arial" w:cs="Arial"/>
        <w:color w:val="333059"/>
        <w:sz w:val="16"/>
      </w:rPr>
      <w:t>1</w:t>
    </w:r>
    <w:r w:rsidR="00FA66BF">
      <w:rPr>
        <w:rFonts w:ascii="Arial" w:eastAsia="Arial" w:hAnsi="Arial" w:cs="Arial"/>
        <w:color w:val="333059"/>
        <w:sz w:val="16"/>
      </w:rPr>
      <w:fldChar w:fldCharType="end"/>
    </w:r>
    <w:r>
      <w:rPr>
        <w:rFonts w:ascii="Arial" w:eastAsia="Arial" w:hAnsi="Arial" w:cs="Arial"/>
        <w:color w:val="333059"/>
        <w:sz w:val="16"/>
      </w:rPr>
      <w:t xml:space="preserve"> из </w:t>
    </w:r>
    <w:r w:rsidR="00CB0817">
      <w:fldChar w:fldCharType="begin"/>
    </w:r>
    <w:r w:rsidR="00CB0817">
      <w:instrText xml:space="preserve"> NUMPAGES   \* MERGEFORMAT </w:instrText>
    </w:r>
    <w:r w:rsidR="00CB0817">
      <w:fldChar w:fldCharType="separate"/>
    </w:r>
    <w:r w:rsidR="00DC46D2" w:rsidRPr="00DC46D2">
      <w:rPr>
        <w:rFonts w:ascii="Arial" w:eastAsia="Arial" w:hAnsi="Arial" w:cs="Arial"/>
        <w:noProof/>
        <w:color w:val="333059"/>
        <w:sz w:val="16"/>
      </w:rPr>
      <w:t>7</w:t>
    </w:r>
    <w:r w:rsidR="00CB0817">
      <w:rPr>
        <w:rFonts w:ascii="Arial" w:eastAsia="Arial" w:hAnsi="Arial" w:cs="Arial"/>
        <w:noProof/>
        <w:color w:val="333059"/>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06187" w14:textId="77777777" w:rsidR="00CB0817" w:rsidRDefault="00CB0817">
      <w:pPr>
        <w:spacing w:after="0" w:line="240" w:lineRule="auto"/>
      </w:pPr>
      <w:r>
        <w:separator/>
      </w:r>
    </w:p>
  </w:footnote>
  <w:footnote w:type="continuationSeparator" w:id="0">
    <w:p w14:paraId="4302ADCA" w14:textId="77777777" w:rsidR="00CB0817" w:rsidRDefault="00CB0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D7BC0"/>
    <w:multiLevelType w:val="hybridMultilevel"/>
    <w:tmpl w:val="96A855B8"/>
    <w:lvl w:ilvl="0" w:tplc="0D8297F8">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4D04040">
      <w:start w:val="1"/>
      <w:numFmt w:val="lowerLetter"/>
      <w:lvlText w:val="%2"/>
      <w:lvlJc w:val="left"/>
      <w:pPr>
        <w:ind w:left="37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CF83DBE">
      <w:start w:val="1"/>
      <w:numFmt w:val="lowerRoman"/>
      <w:lvlText w:val="%3"/>
      <w:lvlJc w:val="left"/>
      <w:pPr>
        <w:ind w:left="44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0643BB0">
      <w:start w:val="1"/>
      <w:numFmt w:val="decimal"/>
      <w:lvlText w:val="%4"/>
      <w:lvlJc w:val="left"/>
      <w:pPr>
        <w:ind w:left="51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4D4DDC4">
      <w:start w:val="1"/>
      <w:numFmt w:val="lowerLetter"/>
      <w:lvlText w:val="%5"/>
      <w:lvlJc w:val="left"/>
      <w:pPr>
        <w:ind w:left="58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FB2A1EA">
      <w:start w:val="1"/>
      <w:numFmt w:val="lowerRoman"/>
      <w:lvlText w:val="%6"/>
      <w:lvlJc w:val="left"/>
      <w:pPr>
        <w:ind w:left="65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D0E5780">
      <w:start w:val="1"/>
      <w:numFmt w:val="decimal"/>
      <w:lvlText w:val="%7"/>
      <w:lvlJc w:val="left"/>
      <w:pPr>
        <w:ind w:left="73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60A23EE">
      <w:start w:val="1"/>
      <w:numFmt w:val="lowerLetter"/>
      <w:lvlText w:val="%8"/>
      <w:lvlJc w:val="left"/>
      <w:pPr>
        <w:ind w:left="80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9E47F2C">
      <w:start w:val="1"/>
      <w:numFmt w:val="lowerRoman"/>
      <w:lvlText w:val="%9"/>
      <w:lvlJc w:val="left"/>
      <w:pPr>
        <w:ind w:left="87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D6116AE"/>
    <w:multiLevelType w:val="multilevel"/>
    <w:tmpl w:val="9D9AA69C"/>
    <w:lvl w:ilvl="0">
      <w:start w:val="1"/>
      <w:numFmt w:val="decimal"/>
      <w:lvlText w:val="%1."/>
      <w:lvlJc w:val="left"/>
      <w:pPr>
        <w:ind w:left="780" w:hanging="780"/>
      </w:pPr>
      <w:rPr>
        <w:rFonts w:hint="default"/>
      </w:rPr>
    </w:lvl>
    <w:lvl w:ilvl="1">
      <w:start w:val="1"/>
      <w:numFmt w:val="decimal"/>
      <w:lvlText w:val="%1.%2."/>
      <w:lvlJc w:val="left"/>
      <w:pPr>
        <w:ind w:left="1055" w:hanging="780"/>
      </w:pPr>
      <w:rPr>
        <w:rFonts w:hint="default"/>
      </w:rPr>
    </w:lvl>
    <w:lvl w:ilvl="2">
      <w:start w:val="1"/>
      <w:numFmt w:val="decimal"/>
      <w:lvlText w:val="%1.%2.%3."/>
      <w:lvlJc w:val="left"/>
      <w:pPr>
        <w:ind w:left="1330" w:hanging="780"/>
      </w:pPr>
      <w:rPr>
        <w:rFonts w:hint="default"/>
      </w:rPr>
    </w:lvl>
    <w:lvl w:ilvl="3">
      <w:start w:val="1"/>
      <w:numFmt w:val="decimal"/>
      <w:lvlText w:val="%1.%2.%3.%4."/>
      <w:lvlJc w:val="left"/>
      <w:pPr>
        <w:ind w:left="1605" w:hanging="780"/>
      </w:pPr>
      <w:rPr>
        <w:rFonts w:hint="default"/>
      </w:rPr>
    </w:lvl>
    <w:lvl w:ilvl="4">
      <w:start w:val="1"/>
      <w:numFmt w:val="decimal"/>
      <w:lvlText w:val="%1.%2.%3.%4.%5."/>
      <w:lvlJc w:val="left"/>
      <w:pPr>
        <w:ind w:left="2180" w:hanging="1080"/>
      </w:pPr>
      <w:rPr>
        <w:rFonts w:hint="default"/>
      </w:rPr>
    </w:lvl>
    <w:lvl w:ilvl="5">
      <w:start w:val="1"/>
      <w:numFmt w:val="decimal"/>
      <w:lvlText w:val="%1.%2.%3.%4.%5.%6."/>
      <w:lvlJc w:val="left"/>
      <w:pPr>
        <w:ind w:left="2455" w:hanging="1080"/>
      </w:pPr>
      <w:rPr>
        <w:rFonts w:hint="default"/>
      </w:rPr>
    </w:lvl>
    <w:lvl w:ilvl="6">
      <w:start w:val="1"/>
      <w:numFmt w:val="decimal"/>
      <w:lvlText w:val="%1.%2.%3.%4.%5.%6.%7."/>
      <w:lvlJc w:val="left"/>
      <w:pPr>
        <w:ind w:left="3090" w:hanging="1440"/>
      </w:pPr>
      <w:rPr>
        <w:rFonts w:hint="default"/>
      </w:rPr>
    </w:lvl>
    <w:lvl w:ilvl="7">
      <w:start w:val="1"/>
      <w:numFmt w:val="decimal"/>
      <w:lvlText w:val="%1.%2.%3.%4.%5.%6.%7.%8."/>
      <w:lvlJc w:val="left"/>
      <w:pPr>
        <w:ind w:left="3365" w:hanging="1440"/>
      </w:pPr>
      <w:rPr>
        <w:rFonts w:hint="default"/>
      </w:rPr>
    </w:lvl>
    <w:lvl w:ilvl="8">
      <w:start w:val="1"/>
      <w:numFmt w:val="decimal"/>
      <w:lvlText w:val="%1.%2.%3.%4.%5.%6.%7.%8.%9."/>
      <w:lvlJc w:val="left"/>
      <w:pPr>
        <w:ind w:left="4000" w:hanging="1800"/>
      </w:pPr>
      <w:rPr>
        <w:rFonts w:hint="default"/>
      </w:rPr>
    </w:lvl>
  </w:abstractNum>
  <w:abstractNum w:abstractNumId="2" w15:restartNumberingAfterBreak="0">
    <w:nsid w:val="401934FF"/>
    <w:multiLevelType w:val="multilevel"/>
    <w:tmpl w:val="C8A26F60"/>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D72572B"/>
    <w:multiLevelType w:val="hybridMultilevel"/>
    <w:tmpl w:val="885E019A"/>
    <w:lvl w:ilvl="0" w:tplc="E6F03F4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C0C044">
      <w:start w:val="1"/>
      <w:numFmt w:val="bullet"/>
      <w:lvlText w:val="o"/>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849370">
      <w:start w:val="1"/>
      <w:numFmt w:val="bullet"/>
      <w:lvlText w:val="▪"/>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364380">
      <w:start w:val="1"/>
      <w:numFmt w:val="bullet"/>
      <w:lvlText w:val="•"/>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A0EFD6">
      <w:start w:val="1"/>
      <w:numFmt w:val="bullet"/>
      <w:lvlText w:val="o"/>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6868B8">
      <w:start w:val="1"/>
      <w:numFmt w:val="bullet"/>
      <w:lvlText w:val="▪"/>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0AC8BC">
      <w:start w:val="1"/>
      <w:numFmt w:val="bullet"/>
      <w:lvlText w:val="•"/>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D646DA">
      <w:start w:val="1"/>
      <w:numFmt w:val="bullet"/>
      <w:lvlText w:val="o"/>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08896C">
      <w:start w:val="1"/>
      <w:numFmt w:val="bullet"/>
      <w:lvlText w:val="▪"/>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466316868">
    <w:abstractNumId w:val="3"/>
  </w:num>
  <w:num w:numId="2" w16cid:durableId="2069717082">
    <w:abstractNumId w:val="2"/>
  </w:num>
  <w:num w:numId="3" w16cid:durableId="239993035">
    <w:abstractNumId w:val="0"/>
  </w:num>
  <w:num w:numId="4" w16cid:durableId="144219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11AFC"/>
    <w:rsid w:val="00006DAE"/>
    <w:rsid w:val="000125DB"/>
    <w:rsid w:val="0003051A"/>
    <w:rsid w:val="0004063F"/>
    <w:rsid w:val="000A12B1"/>
    <w:rsid w:val="000A7D64"/>
    <w:rsid w:val="000F4282"/>
    <w:rsid w:val="00163963"/>
    <w:rsid w:val="001A4EDC"/>
    <w:rsid w:val="0026345D"/>
    <w:rsid w:val="00266C29"/>
    <w:rsid w:val="002F560F"/>
    <w:rsid w:val="00352DB2"/>
    <w:rsid w:val="003A01B5"/>
    <w:rsid w:val="003A1347"/>
    <w:rsid w:val="003A5270"/>
    <w:rsid w:val="00410B9E"/>
    <w:rsid w:val="004236B5"/>
    <w:rsid w:val="0044105A"/>
    <w:rsid w:val="004B0157"/>
    <w:rsid w:val="004B4761"/>
    <w:rsid w:val="004C5181"/>
    <w:rsid w:val="004E72EB"/>
    <w:rsid w:val="005462CD"/>
    <w:rsid w:val="005858BC"/>
    <w:rsid w:val="00620354"/>
    <w:rsid w:val="006477AA"/>
    <w:rsid w:val="00665B52"/>
    <w:rsid w:val="006B6117"/>
    <w:rsid w:val="006B69BA"/>
    <w:rsid w:val="006E26CA"/>
    <w:rsid w:val="006F6C71"/>
    <w:rsid w:val="00700B26"/>
    <w:rsid w:val="00744867"/>
    <w:rsid w:val="007726A8"/>
    <w:rsid w:val="007E2EBC"/>
    <w:rsid w:val="00831DB3"/>
    <w:rsid w:val="008B5A06"/>
    <w:rsid w:val="008C4CF7"/>
    <w:rsid w:val="008F15CB"/>
    <w:rsid w:val="009102F7"/>
    <w:rsid w:val="00933159"/>
    <w:rsid w:val="0096076D"/>
    <w:rsid w:val="00994E6C"/>
    <w:rsid w:val="009E22B2"/>
    <w:rsid w:val="009F2029"/>
    <w:rsid w:val="00A40DBD"/>
    <w:rsid w:val="00AB037F"/>
    <w:rsid w:val="00AF4EC4"/>
    <w:rsid w:val="00B07AB9"/>
    <w:rsid w:val="00B274EE"/>
    <w:rsid w:val="00BA22CB"/>
    <w:rsid w:val="00C05E02"/>
    <w:rsid w:val="00C2593E"/>
    <w:rsid w:val="00C46868"/>
    <w:rsid w:val="00C83C52"/>
    <w:rsid w:val="00CB0817"/>
    <w:rsid w:val="00CC6D4D"/>
    <w:rsid w:val="00CF0E5A"/>
    <w:rsid w:val="00D07560"/>
    <w:rsid w:val="00D11AFC"/>
    <w:rsid w:val="00DA1FC8"/>
    <w:rsid w:val="00DA5B8C"/>
    <w:rsid w:val="00DC46D2"/>
    <w:rsid w:val="00DD1361"/>
    <w:rsid w:val="00DF2D17"/>
    <w:rsid w:val="00EB67D4"/>
    <w:rsid w:val="00EE49DF"/>
    <w:rsid w:val="00F20085"/>
    <w:rsid w:val="00FA66BF"/>
    <w:rsid w:val="00FC0F8A"/>
    <w:rsid w:val="00FF3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46D6B"/>
  <w15:docId w15:val="{C7EF15B5-ED34-48B5-A7A3-C6570E22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4282"/>
    <w:pPr>
      <w:spacing w:after="29" w:line="252" w:lineRule="auto"/>
      <w:ind w:right="30" w:firstLine="29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0F4282"/>
    <w:pPr>
      <w:keepNext/>
      <w:keepLines/>
      <w:numPr>
        <w:numId w:val="3"/>
      </w:numPr>
      <w:spacing w:after="86"/>
      <w:ind w:left="10" w:right="32"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F4282"/>
    <w:rPr>
      <w:rFonts w:ascii="Times New Roman" w:eastAsia="Times New Roman" w:hAnsi="Times New Roman" w:cs="Times New Roman"/>
      <w:b/>
      <w:color w:val="000000"/>
      <w:sz w:val="24"/>
    </w:rPr>
  </w:style>
  <w:style w:type="table" w:customStyle="1" w:styleId="TableGrid">
    <w:name w:val="TableGrid"/>
    <w:rsid w:val="000F4282"/>
    <w:pPr>
      <w:spacing w:after="0" w:line="240" w:lineRule="auto"/>
    </w:pPr>
    <w:tblPr>
      <w:tblCellMar>
        <w:top w:w="0" w:type="dxa"/>
        <w:left w:w="0" w:type="dxa"/>
        <w:bottom w:w="0" w:type="dxa"/>
        <w:right w:w="0" w:type="dxa"/>
      </w:tblCellMar>
    </w:tblPr>
  </w:style>
  <w:style w:type="table" w:styleId="a3">
    <w:name w:val="Table Grid"/>
    <w:basedOn w:val="a1"/>
    <w:uiPriority w:val="39"/>
    <w:rsid w:val="004E7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шрифт абзаца1"/>
    <w:rsid w:val="00DF2D17"/>
  </w:style>
  <w:style w:type="paragraph" w:styleId="a4">
    <w:name w:val="Body Text"/>
    <w:basedOn w:val="a"/>
    <w:link w:val="a5"/>
    <w:rsid w:val="00DF2D17"/>
    <w:pPr>
      <w:widowControl w:val="0"/>
      <w:suppressAutoHyphens/>
      <w:spacing w:after="120" w:line="240" w:lineRule="auto"/>
      <w:ind w:left="-210" w:right="-765" w:firstLine="0"/>
    </w:pPr>
    <w:rPr>
      <w:rFonts w:eastAsia="Andale Sans UI"/>
      <w:color w:val="auto"/>
      <w:kern w:val="1"/>
      <w:szCs w:val="24"/>
      <w:lang w:eastAsia="ar-SA"/>
    </w:rPr>
  </w:style>
  <w:style w:type="character" w:customStyle="1" w:styleId="a5">
    <w:name w:val="Основной текст Знак"/>
    <w:basedOn w:val="a0"/>
    <w:link w:val="a4"/>
    <w:rsid w:val="00DF2D17"/>
    <w:rPr>
      <w:rFonts w:ascii="Times New Roman" w:eastAsia="Andale Sans UI" w:hAnsi="Times New Roman" w:cs="Times New Roman"/>
      <w:kern w:val="1"/>
      <w:sz w:val="24"/>
      <w:szCs w:val="24"/>
      <w:lang w:eastAsia="ar-SA"/>
    </w:rPr>
  </w:style>
  <w:style w:type="paragraph" w:styleId="a6">
    <w:name w:val="header"/>
    <w:basedOn w:val="a"/>
    <w:link w:val="a7"/>
    <w:uiPriority w:val="99"/>
    <w:semiHidden/>
    <w:unhideWhenUsed/>
    <w:rsid w:val="006B611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B6117"/>
    <w:rPr>
      <w:rFonts w:ascii="Times New Roman" w:eastAsia="Times New Roman" w:hAnsi="Times New Roman" w:cs="Times New Roman"/>
      <w:color w:val="000000"/>
      <w:sz w:val="24"/>
    </w:rPr>
  </w:style>
  <w:style w:type="paragraph" w:styleId="a8">
    <w:name w:val="List Paragraph"/>
    <w:basedOn w:val="a"/>
    <w:uiPriority w:val="34"/>
    <w:qFormat/>
    <w:rsid w:val="003A13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99761">
      <w:bodyDiv w:val="1"/>
      <w:marLeft w:val="0"/>
      <w:marRight w:val="0"/>
      <w:marTop w:val="0"/>
      <w:marBottom w:val="0"/>
      <w:divBdr>
        <w:top w:val="none" w:sz="0" w:space="0" w:color="auto"/>
        <w:left w:val="none" w:sz="0" w:space="0" w:color="auto"/>
        <w:bottom w:val="none" w:sz="0" w:space="0" w:color="auto"/>
        <w:right w:val="none" w:sz="0" w:space="0" w:color="auto"/>
      </w:divBdr>
    </w:div>
    <w:div w:id="727073937">
      <w:bodyDiv w:val="1"/>
      <w:marLeft w:val="0"/>
      <w:marRight w:val="0"/>
      <w:marTop w:val="0"/>
      <w:marBottom w:val="0"/>
      <w:divBdr>
        <w:top w:val="none" w:sz="0" w:space="0" w:color="auto"/>
        <w:left w:val="none" w:sz="0" w:space="0" w:color="auto"/>
        <w:bottom w:val="none" w:sz="0" w:space="0" w:color="auto"/>
        <w:right w:val="none" w:sz="0" w:space="0" w:color="auto"/>
      </w:divBdr>
    </w:div>
    <w:div w:id="1006245654">
      <w:bodyDiv w:val="1"/>
      <w:marLeft w:val="0"/>
      <w:marRight w:val="0"/>
      <w:marTop w:val="0"/>
      <w:marBottom w:val="0"/>
      <w:divBdr>
        <w:top w:val="none" w:sz="0" w:space="0" w:color="auto"/>
        <w:left w:val="none" w:sz="0" w:space="0" w:color="auto"/>
        <w:bottom w:val="none" w:sz="0" w:space="0" w:color="auto"/>
        <w:right w:val="none" w:sz="0" w:space="0" w:color="auto"/>
      </w:divBdr>
    </w:div>
    <w:div w:id="1307008396">
      <w:bodyDiv w:val="1"/>
      <w:marLeft w:val="0"/>
      <w:marRight w:val="0"/>
      <w:marTop w:val="0"/>
      <w:marBottom w:val="0"/>
      <w:divBdr>
        <w:top w:val="none" w:sz="0" w:space="0" w:color="auto"/>
        <w:left w:val="none" w:sz="0" w:space="0" w:color="auto"/>
        <w:bottom w:val="none" w:sz="0" w:space="0" w:color="auto"/>
        <w:right w:val="none" w:sz="0" w:space="0" w:color="auto"/>
      </w:divBdr>
    </w:div>
    <w:div w:id="1554386714">
      <w:bodyDiv w:val="1"/>
      <w:marLeft w:val="0"/>
      <w:marRight w:val="0"/>
      <w:marTop w:val="0"/>
      <w:marBottom w:val="0"/>
      <w:divBdr>
        <w:top w:val="none" w:sz="0" w:space="0" w:color="auto"/>
        <w:left w:val="none" w:sz="0" w:space="0" w:color="auto"/>
        <w:bottom w:val="none" w:sz="0" w:space="0" w:color="auto"/>
        <w:right w:val="none" w:sz="0" w:space="0" w:color="auto"/>
      </w:divBdr>
    </w:div>
    <w:div w:id="1725717269">
      <w:bodyDiv w:val="1"/>
      <w:marLeft w:val="0"/>
      <w:marRight w:val="0"/>
      <w:marTop w:val="0"/>
      <w:marBottom w:val="0"/>
      <w:divBdr>
        <w:top w:val="none" w:sz="0" w:space="0" w:color="auto"/>
        <w:left w:val="none" w:sz="0" w:space="0" w:color="auto"/>
        <w:bottom w:val="none" w:sz="0" w:space="0" w:color="auto"/>
        <w:right w:val="none" w:sz="0" w:space="0" w:color="auto"/>
      </w:divBdr>
    </w:div>
    <w:div w:id="1948582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EB6DC-EFD6-4C3D-A1C2-CF29E8D8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2713</Words>
  <Characters>15468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Шевченко Юлия Валерьевна</dc:creator>
  <cp:lastModifiedBy>Половинкин Никита Сергеевич</cp:lastModifiedBy>
  <cp:revision>17</cp:revision>
  <cp:lastPrinted>2023-01-20T07:55:00Z</cp:lastPrinted>
  <dcterms:created xsi:type="dcterms:W3CDTF">2023-01-09T10:49:00Z</dcterms:created>
  <dcterms:modified xsi:type="dcterms:W3CDTF">2023-08-04T09:07:00Z</dcterms:modified>
</cp:coreProperties>
</file>